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Pr="00A074ED" w:rsidRDefault="00C671AF" w:rsidP="568FBF53">
      <w:pPr>
        <w:rPr>
          <w:lang w:val="fr-FR"/>
        </w:rPr>
      </w:pPr>
      <w:r w:rsidRPr="00A074ED">
        <w:rPr>
          <w:lang w:val="fr-FR"/>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Pr="00A074ED" w:rsidRDefault="00A43F19" w:rsidP="568FBF53">
      <w:pPr>
        <w:rPr>
          <w:lang w:val="fr-FR"/>
        </w:rPr>
      </w:pPr>
    </w:p>
    <w:p w14:paraId="3A103433" w14:textId="419C18F8" w:rsidR="00A43F19" w:rsidRPr="00A074ED" w:rsidRDefault="00A43F19" w:rsidP="568FBF53">
      <w:pPr>
        <w:rPr>
          <w:lang w:val="fr-FR"/>
        </w:rPr>
      </w:pPr>
    </w:p>
    <w:p w14:paraId="51D40A8F" w14:textId="08729597" w:rsidR="00A43F19" w:rsidRPr="00A074ED" w:rsidRDefault="00BD2B7A" w:rsidP="568FBF53">
      <w:pPr>
        <w:rPr>
          <w:lang w:val="fr-FR"/>
        </w:rPr>
      </w:pPr>
      <w:r w:rsidRPr="00A074ED">
        <w:rPr>
          <w:color w:val="DBEFF1" w:themeColor="accent4" w:themeTint="33"/>
          <w:lang w:val="fr-FR"/>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894D2B"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24F2849" w:rsidR="005410E9" w:rsidRPr="00A074ED" w:rsidRDefault="005410E9" w:rsidP="568FBF53">
      <w:pPr>
        <w:rPr>
          <w:b/>
          <w:bCs/>
          <w:sz w:val="144"/>
          <w:szCs w:val="144"/>
          <w:lang w:val="fr-FR"/>
        </w:rPr>
      </w:pPr>
    </w:p>
    <w:p w14:paraId="2C5FA821" w14:textId="18CE2A47" w:rsidR="00235F7A" w:rsidRPr="00A074ED" w:rsidRDefault="00235F7A" w:rsidP="568FBF53">
      <w:pPr>
        <w:rPr>
          <w:b/>
          <w:bCs/>
          <w:color w:val="194869" w:themeColor="accent1"/>
          <w:sz w:val="96"/>
          <w:szCs w:val="96"/>
          <w:lang w:val="fr-FR"/>
        </w:rPr>
      </w:pPr>
    </w:p>
    <w:p w14:paraId="5E986F59" w14:textId="4928BBBD" w:rsidR="00235F7A" w:rsidRPr="00A074ED" w:rsidRDefault="00235F7A" w:rsidP="568FBF53">
      <w:pPr>
        <w:rPr>
          <w:b/>
          <w:bCs/>
          <w:color w:val="194869" w:themeColor="accent1"/>
          <w:sz w:val="96"/>
          <w:szCs w:val="96"/>
          <w:lang w:val="fr-FR"/>
        </w:rPr>
      </w:pPr>
    </w:p>
    <w:p w14:paraId="78BD709E" w14:textId="3D2E9624" w:rsidR="00235F7A" w:rsidRPr="00A074ED" w:rsidRDefault="00235F7A" w:rsidP="568FBF53">
      <w:pPr>
        <w:rPr>
          <w:b/>
          <w:bCs/>
          <w:color w:val="194869" w:themeColor="accent1"/>
          <w:sz w:val="96"/>
          <w:szCs w:val="96"/>
          <w:lang w:val="fr-FR"/>
        </w:rPr>
      </w:pPr>
    </w:p>
    <w:p w14:paraId="1FA904AE" w14:textId="7B51D9D7" w:rsidR="00235F7A" w:rsidRPr="00A074ED" w:rsidRDefault="00235F7A" w:rsidP="568FBF53">
      <w:pPr>
        <w:rPr>
          <w:b/>
          <w:bCs/>
          <w:color w:val="194869" w:themeColor="accent1"/>
          <w:sz w:val="96"/>
          <w:szCs w:val="96"/>
          <w:lang w:val="fr-FR"/>
        </w:rPr>
      </w:pPr>
    </w:p>
    <w:p w14:paraId="64169D5D" w14:textId="77777777" w:rsidR="00ED102B" w:rsidRPr="00A074ED" w:rsidRDefault="00ED102B" w:rsidP="568FBF53">
      <w:pPr>
        <w:rPr>
          <w:b/>
          <w:bCs/>
          <w:color w:val="194869" w:themeColor="accent1"/>
          <w:sz w:val="72"/>
          <w:szCs w:val="72"/>
          <w:lang w:val="fr-FR"/>
        </w:rPr>
      </w:pPr>
      <w:r w:rsidRPr="00A074ED">
        <w:rPr>
          <w:b/>
          <w:bCs/>
          <w:color w:val="194869" w:themeColor="accent1"/>
          <w:sz w:val="72"/>
          <w:szCs w:val="72"/>
          <w:lang w:val="fr-FR"/>
        </w:rPr>
        <w:t>GUIDE POUR LE SUIVI DE L’INDICATEUR 6.5.1 DES ODD</w:t>
      </w:r>
    </w:p>
    <w:p w14:paraId="062C7CED" w14:textId="2C58AE90" w:rsidR="00844946" w:rsidRPr="00A074ED" w:rsidRDefault="00ED102B" w:rsidP="568FBF53">
      <w:pPr>
        <w:rPr>
          <w:color w:val="FFFFFF" w:themeColor="background1"/>
          <w:sz w:val="28"/>
          <w:szCs w:val="28"/>
          <w:lang w:val="fr-FR"/>
        </w:rPr>
      </w:pPr>
      <w:r w:rsidRPr="00A074ED">
        <w:rPr>
          <w:b/>
          <w:bCs/>
          <w:color w:val="20A6CA" w:themeColor="accent2"/>
          <w:sz w:val="48"/>
          <w:szCs w:val="48"/>
          <w:lang w:val="fr-FR"/>
        </w:rPr>
        <w:t>DEGRE DE MISE EN ŒUVRE DE LA GESTION INTEGREE DES RESSOURCES EN EAU (GIRE)</w:t>
      </w:r>
    </w:p>
    <w:p w14:paraId="5A8BF614" w14:textId="1A6D36AC" w:rsidR="00844946" w:rsidRPr="00A074ED" w:rsidRDefault="00844946" w:rsidP="568FBF53">
      <w:pPr>
        <w:rPr>
          <w:color w:val="FFFFFF" w:themeColor="background1"/>
          <w:sz w:val="28"/>
          <w:szCs w:val="28"/>
          <w:lang w:val="fr-FR"/>
        </w:rPr>
      </w:pPr>
    </w:p>
    <w:p w14:paraId="55F545EF" w14:textId="3277EFF5" w:rsidR="00A43F19" w:rsidRPr="00A074ED" w:rsidRDefault="00A43F19" w:rsidP="568FBF53">
      <w:pPr>
        <w:rPr>
          <w:color w:val="4698D3" w:themeColor="accent1" w:themeTint="99"/>
          <w:sz w:val="28"/>
          <w:szCs w:val="28"/>
          <w:lang w:val="fr-FR"/>
        </w:rPr>
      </w:pPr>
    </w:p>
    <w:p w14:paraId="71EAD197" w14:textId="1573F2C8" w:rsidR="00B0219D" w:rsidRPr="00A074ED" w:rsidRDefault="00B0219D" w:rsidP="568FBF53">
      <w:pPr>
        <w:rPr>
          <w:color w:val="4698D3" w:themeColor="accent1" w:themeTint="99"/>
          <w:sz w:val="28"/>
          <w:szCs w:val="28"/>
          <w:lang w:val="fr-FR"/>
        </w:rPr>
      </w:pPr>
    </w:p>
    <w:p w14:paraId="7E665D9F" w14:textId="617DBA9D" w:rsidR="00B0219D" w:rsidRPr="00A074ED" w:rsidRDefault="00B0219D" w:rsidP="568FBF53">
      <w:pPr>
        <w:rPr>
          <w:color w:val="4698D3" w:themeColor="accent1" w:themeTint="99"/>
          <w:sz w:val="28"/>
          <w:szCs w:val="28"/>
          <w:lang w:val="fr-FR"/>
        </w:rPr>
      </w:pPr>
    </w:p>
    <w:p w14:paraId="5806E812" w14:textId="51C94C10" w:rsidR="009819C7" w:rsidRPr="00A074ED" w:rsidRDefault="009819C7" w:rsidP="568FBF53">
      <w:pPr>
        <w:rPr>
          <w:color w:val="4698D3" w:themeColor="accent1" w:themeTint="99"/>
          <w:sz w:val="28"/>
          <w:szCs w:val="28"/>
          <w:lang w:val="fr-FR"/>
        </w:rPr>
      </w:pPr>
      <w:r w:rsidRPr="00A074ED">
        <w:rPr>
          <w:sz w:val="52"/>
          <w:szCs w:val="52"/>
          <w:lang w:val="fr-FR"/>
        </w:rPr>
        <w:br w:type="page"/>
      </w:r>
    </w:p>
    <w:p w14:paraId="451DE825" w14:textId="3173F422" w:rsidR="00ED102B" w:rsidRPr="00A074ED" w:rsidRDefault="00ED102B" w:rsidP="00ED102B">
      <w:pPr>
        <w:pStyle w:val="Body"/>
        <w:jc w:val="both"/>
      </w:pPr>
      <w:r w:rsidRPr="00A074ED">
        <w:rPr>
          <w:lang w:bidi="fr-FR"/>
        </w:rPr>
        <w:lastRenderedPageBreak/>
        <w:t xml:space="preserve">Le présent guide donne un aperçu de la marche à suivre pour remplir et soumettre le </w:t>
      </w:r>
      <w:hyperlink r:id="rId12">
        <w:r w:rsidRPr="00A074ED">
          <w:rPr>
            <w:rStyle w:val="Hyperlink"/>
            <w:lang w:bidi="fr-FR"/>
          </w:rPr>
          <w:t>questionnaire d’enquête sur l’indicateur 6.5.1</w:t>
        </w:r>
      </w:hyperlink>
      <w:r w:rsidRPr="00A074ED">
        <w:rPr>
          <w:lang w:bidi="fr-FR"/>
        </w:rPr>
        <w:t xml:space="preserve"> (version 2023). Tous les points focaux pour l’indicateur 6.5.1 sont tenus de le lire. L’enquête et le présent guide de suivi sont </w:t>
      </w:r>
      <w:hyperlink r:id="rId13" w:history="1">
        <w:r w:rsidRPr="00A074ED">
          <w:rPr>
            <w:rStyle w:val="Hyperlink"/>
            <w:lang w:bidi="fr-FR"/>
          </w:rPr>
          <w:t>disponibles</w:t>
        </w:r>
      </w:hyperlink>
      <w:r w:rsidRPr="00A074ED">
        <w:rPr>
          <w:lang w:bidi="fr-FR"/>
        </w:rPr>
        <w:t xml:space="preserve"> en anglais, en arabe, en chinois, en espagnol, en français, en portugais et en russe. D’autres ressources (facultatives) sont référencées dans ce document, et présentées de manière synthétique à l’</w:t>
      </w:r>
      <w:hyperlink w:anchor="_Annexe_1_:" w:history="1">
        <w:r w:rsidRPr="00A074ED">
          <w:rPr>
            <w:rStyle w:val="Hyperlink"/>
            <w:lang w:bidi="fr-FR"/>
          </w:rPr>
          <w:t>annexe 1</w:t>
        </w:r>
      </w:hyperlink>
      <w:r w:rsidRPr="00A074ED">
        <w:rPr>
          <w:lang w:bidi="fr-FR"/>
        </w:rPr>
        <w:t xml:space="preserve"> sous forme de tableau. Toutes les ressources sont accessibles depuis le </w:t>
      </w:r>
      <w:hyperlink r:id="rId14">
        <w:r w:rsidRPr="00A074ED">
          <w:rPr>
            <w:rStyle w:val="Hyperlink"/>
            <w:lang w:bidi="fr-FR"/>
          </w:rPr>
          <w:t>portail de données sur la GIRE</w:t>
        </w:r>
      </w:hyperlink>
      <w:r w:rsidRPr="00A074ED">
        <w:rPr>
          <w:lang w:bidi="fr-FR"/>
        </w:rPr>
        <w:t>.</w:t>
      </w:r>
    </w:p>
    <w:p w14:paraId="7082E462" w14:textId="77777777" w:rsidR="00ED102B" w:rsidRPr="00A074ED" w:rsidRDefault="00970943" w:rsidP="001F03EB">
      <w:pPr>
        <w:pStyle w:val="Heading1"/>
        <w:numPr>
          <w:ilvl w:val="0"/>
          <w:numId w:val="27"/>
        </w:numPr>
        <w:ind w:left="284"/>
        <w:rPr>
          <w:lang w:val="fr-FR"/>
        </w:rPr>
      </w:pPr>
      <w:r w:rsidRPr="00A074ED">
        <w:rPr>
          <w:lang w:val="fr-FR"/>
        </w:rPr>
        <w:t xml:space="preserve"> </w:t>
      </w:r>
      <w:r w:rsidR="00ED102B" w:rsidRPr="00A074ED">
        <w:rPr>
          <w:lang w:val="fr-FR"/>
        </w:rPr>
        <w:t>ROLES ET RESPONSABILITES : POINTS FOCAUX</w:t>
      </w:r>
    </w:p>
    <w:p w14:paraId="36C2BF7B" w14:textId="77777777" w:rsidR="00ED102B" w:rsidRPr="00A074ED" w:rsidRDefault="00ED102B" w:rsidP="00ED102B">
      <w:pPr>
        <w:pStyle w:val="Body"/>
        <w:jc w:val="both"/>
      </w:pPr>
      <w:r w:rsidRPr="00A074ED">
        <w:t>Le point focal pour l’indicateur 6.5.1 assume la responsabilité générale de la coordination du processus de suivi, notamment pour ce qui est de la consultation des parties prenantes (voir la section 5), et soumet les versions provisoire et définitive de l’enquête au Programme des Nations Unies pour l’environnement (PNUE), en tant qu’organe responsable du suivi de l’indicateur (voir la section 6). Dans la plupart des pays, les points focaux sont rattachés au ministère chargé de la gestion des ressources en eau, mais ils dépendent parfois du bureau national de statistique</w:t>
      </w:r>
      <w:r w:rsidRPr="00A074ED">
        <w:footnoteReference w:id="1"/>
      </w:r>
      <w:r w:rsidRPr="00A074ED">
        <w:t xml:space="preserve">. Le cas échéant, il est vivement conseillé de désigner un point focal « d’appui » rattaché au ministère chargé des ressources en eau (ou équivalent). Le point focal sera probablement amené à travailler avec des collègues dans le cadre d’une « équipe chargée de l’indicateur », et pourra recruter ou désigner un « animateur » qui dirigera le processus de consultation (voir la section 5). </w:t>
      </w:r>
    </w:p>
    <w:p w14:paraId="65D8AB17" w14:textId="77777777" w:rsidR="00ED102B" w:rsidRPr="00A074ED" w:rsidRDefault="00970943" w:rsidP="001F03EB">
      <w:pPr>
        <w:pStyle w:val="Heading1"/>
        <w:numPr>
          <w:ilvl w:val="0"/>
          <w:numId w:val="27"/>
        </w:numPr>
        <w:ind w:left="284"/>
        <w:rPr>
          <w:lang w:val="fr-FR"/>
        </w:rPr>
      </w:pPr>
      <w:r w:rsidRPr="00A074ED">
        <w:rPr>
          <w:lang w:val="fr-FR"/>
        </w:rPr>
        <w:t xml:space="preserve"> </w:t>
      </w:r>
      <w:r w:rsidR="00ED102B" w:rsidRPr="00A074ED">
        <w:rPr>
          <w:lang w:val="fr-FR"/>
        </w:rPr>
        <w:t>AIDE DISPONIBLE</w:t>
      </w:r>
    </w:p>
    <w:p w14:paraId="5B01740B" w14:textId="3C67D204" w:rsidR="00ED102B" w:rsidRPr="00A074ED" w:rsidRDefault="00ED102B" w:rsidP="00ED102B">
      <w:pPr>
        <w:pStyle w:val="Body"/>
        <w:jc w:val="both"/>
      </w:pPr>
      <w:r w:rsidRPr="00A074ED">
        <w:rPr>
          <w:lang w:bidi="fr-FR"/>
        </w:rPr>
        <w:t>La plupart des pays devraient être en mesure de remplir et de soumettre l’</w:t>
      </w:r>
      <w:hyperlink r:id="rId15">
        <w:r w:rsidRPr="00A074ED">
          <w:rPr>
            <w:rStyle w:val="Hyperlink"/>
            <w:lang w:bidi="fr-FR"/>
          </w:rPr>
          <w:t>enquête sur l’indicateur 6.5.1</w:t>
        </w:r>
      </w:hyperlink>
      <w:r w:rsidRPr="00A074ED">
        <w:rPr>
          <w:lang w:bidi="fr-FR"/>
        </w:rPr>
        <w:t xml:space="preserve">, en s’appuyant, au besoin, sur les ressources disponibles (voir l’annexe 1). En outre, une demande peut être adressée au service d’assistance de l’indicateur 6.5.1 chargé de la GIRE, hébergé par le PNUE, à l’adresse suivante : </w:t>
      </w:r>
      <w:hyperlink r:id="rId16">
        <w:r w:rsidRPr="00A074ED">
          <w:rPr>
            <w:rStyle w:val="Hyperlink"/>
            <w:lang w:bidi="fr-FR"/>
          </w:rPr>
          <w:t>iwrmsdg651@un.org</w:t>
        </w:r>
      </w:hyperlink>
      <w:r w:rsidRPr="00A074ED">
        <w:rPr>
          <w:lang w:bidi="fr-FR"/>
        </w:rPr>
        <w:t xml:space="preserve">. </w:t>
      </w:r>
    </w:p>
    <w:p w14:paraId="34F06499" w14:textId="75F0C156" w:rsidR="00ED102B" w:rsidRPr="00A074ED" w:rsidRDefault="00ED102B" w:rsidP="00ED102B">
      <w:pPr>
        <w:pStyle w:val="Body"/>
        <w:jc w:val="both"/>
      </w:pPr>
      <w:r w:rsidRPr="00A074ED">
        <w:rPr>
          <w:lang w:bidi="fr-FR"/>
        </w:rPr>
        <w:t xml:space="preserve">Les pays qui souhaitent obtenir une assistance technique ou financière supplémentaire afin de remplir le questionnaire d’enquête dans le cadre du </w:t>
      </w:r>
      <w:hyperlink r:id="rId17">
        <w:r w:rsidRPr="00A074ED">
          <w:rPr>
            <w:rStyle w:val="Hyperlink"/>
            <w:lang w:bidi="fr-FR"/>
          </w:rPr>
          <w:t>Programme de soutien à l’ODD 6 GIRE</w:t>
        </w:r>
      </w:hyperlink>
      <w:r w:rsidRPr="00A074ED">
        <w:rPr>
          <w:lang w:bidi="fr-FR"/>
        </w:rPr>
        <w:t xml:space="preserve"> peuvent en faire la demande auprès du service d’assistance ou en écrivant à l’adresse suivante : </w:t>
      </w:r>
      <w:hyperlink r:id="rId18">
        <w:r w:rsidRPr="00A074ED">
          <w:rPr>
            <w:rStyle w:val="Hyperlink"/>
            <w:lang w:bidi="fr-FR"/>
          </w:rPr>
          <w:t>sdg6iwrmsp@gwp.org</w:t>
        </w:r>
      </w:hyperlink>
      <w:r w:rsidRPr="00A074ED">
        <w:rPr>
          <w:lang w:bidi="fr-FR"/>
        </w:rPr>
        <w:t xml:space="preserve">. À ce jour, le Programme de soutien a aidé plus de </w:t>
      </w:r>
      <w:hyperlink r:id="rId19">
        <w:r w:rsidRPr="00A074ED">
          <w:rPr>
            <w:rStyle w:val="Hyperlink"/>
            <w:lang w:bidi="fr-FR"/>
          </w:rPr>
          <w:t>70 pays</w:t>
        </w:r>
      </w:hyperlink>
      <w:r w:rsidRPr="00A074ED">
        <w:rPr>
          <w:lang w:bidi="fr-FR"/>
        </w:rPr>
        <w:t xml:space="preserve"> à renforcer leurs processus de consultation des parties prenantes afin de communiquer des données sur l’indicateur 6.5.1. </w:t>
      </w:r>
    </w:p>
    <w:p w14:paraId="381F1DD8" w14:textId="77777777" w:rsidR="00ED102B" w:rsidRPr="00A074ED" w:rsidRDefault="00970943" w:rsidP="001F03EB">
      <w:pPr>
        <w:pStyle w:val="Heading1"/>
        <w:numPr>
          <w:ilvl w:val="0"/>
          <w:numId w:val="27"/>
        </w:numPr>
        <w:ind w:left="284"/>
        <w:rPr>
          <w:lang w:val="fr-FR"/>
        </w:rPr>
      </w:pPr>
      <w:r w:rsidRPr="00A074ED">
        <w:rPr>
          <w:lang w:val="fr-FR"/>
        </w:rPr>
        <w:t xml:space="preserve"> </w:t>
      </w:r>
      <w:r w:rsidR="00ED102B" w:rsidRPr="00A074ED">
        <w:rPr>
          <w:lang w:val="fr-FR"/>
        </w:rPr>
        <w:t>S’APPUYER SUR LES CYCLES DE COMMUNICATION DE DONNEES PRECEDENTS</w:t>
      </w:r>
    </w:p>
    <w:p w14:paraId="6B2E0787" w14:textId="3AC7164E" w:rsidR="00ED102B" w:rsidRPr="00A074ED" w:rsidRDefault="00ED102B" w:rsidP="00ED102B">
      <w:pPr>
        <w:pStyle w:val="Body"/>
        <w:jc w:val="both"/>
      </w:pPr>
      <w:r w:rsidRPr="00A074ED">
        <w:rPr>
          <w:lang w:bidi="fr-FR"/>
        </w:rPr>
        <w:t xml:space="preserve">186 pays ont soumis le questionnaire d’enquête relatif à l’indicateur 6.5.1 des ODD en 2017 et 2020. Ces questionnaires peuvent être téléchargés </w:t>
      </w:r>
      <w:hyperlink r:id="rId20">
        <w:r w:rsidRPr="00A074ED">
          <w:rPr>
            <w:rStyle w:val="Hyperlink"/>
            <w:lang w:bidi="fr-FR"/>
          </w:rPr>
          <w:t>ici</w:t>
        </w:r>
      </w:hyperlink>
      <w:r w:rsidRPr="00A074ED">
        <w:rPr>
          <w:lang w:bidi="fr-FR"/>
        </w:rPr>
        <w:t xml:space="preserve">. Au cours du cycle 2023, les points </w:t>
      </w:r>
      <w:r w:rsidRPr="00A074ED">
        <w:rPr>
          <w:lang w:bidi="fr-FR"/>
        </w:rPr>
        <w:lastRenderedPageBreak/>
        <w:t>focaux et les collègues sont encouragés à s’appuyer sur les questionnaires d’enquête précédemment soumis. Les versions Word des questionnaires d’enquête nationaux antérieurs sont disponibles sur demande auprès du service d’assistance. L’</w:t>
      </w:r>
      <w:hyperlink w:anchor="_Annexe_2_:" w:history="1">
        <w:r w:rsidRPr="00A074ED">
          <w:rPr>
            <w:rStyle w:val="Hyperlink"/>
            <w:lang w:bidi="fr-FR"/>
          </w:rPr>
          <w:t>annexe 2</w:t>
        </w:r>
      </w:hyperlink>
      <w:r w:rsidRPr="00A074ED">
        <w:rPr>
          <w:lang w:bidi="fr-FR"/>
        </w:rPr>
        <w:t xml:space="preserve"> fournit une liste des différences mineures entre la version 2023 et les versions précédentes. </w:t>
      </w:r>
    </w:p>
    <w:p w14:paraId="447F50C7" w14:textId="77777777" w:rsidR="00ED102B" w:rsidRPr="00A074ED" w:rsidRDefault="00970943" w:rsidP="001F03EB">
      <w:pPr>
        <w:pStyle w:val="Heading1"/>
        <w:numPr>
          <w:ilvl w:val="0"/>
          <w:numId w:val="27"/>
        </w:numPr>
        <w:ind w:left="284"/>
        <w:rPr>
          <w:lang w:val="fr-FR"/>
        </w:rPr>
      </w:pPr>
      <w:r w:rsidRPr="00A074ED">
        <w:rPr>
          <w:lang w:val="fr-FR"/>
        </w:rPr>
        <w:t xml:space="preserve"> </w:t>
      </w:r>
      <w:r w:rsidR="00ED102B" w:rsidRPr="00A074ED">
        <w:rPr>
          <w:lang w:val="fr-FR"/>
        </w:rPr>
        <w:t>COORDINATION ENTRE L’ODD 6 ET LES CIBLES ET INDICATEURS LIES A L’EAU</w:t>
      </w:r>
    </w:p>
    <w:p w14:paraId="7F5B8264" w14:textId="4FA8F39A" w:rsidR="00ED102B" w:rsidRPr="00A074ED" w:rsidRDefault="00ED102B" w:rsidP="00ED102B">
      <w:pPr>
        <w:pStyle w:val="Body"/>
        <w:jc w:val="both"/>
      </w:pPr>
      <w:r w:rsidRPr="00A074ED">
        <w:rPr>
          <w:lang w:bidi="fr-FR"/>
        </w:rPr>
        <w:t>Plusieurs questions de l’enquête sur l’indicateur 6.5.1 concernent différents aspects de l’utilisation et de la gestion des ressources en eau, c’est pourquoi il est préférable que les points focaux chargés des autres indicateurs de l’ODD 6, ainsi que d’autres indicateurs relatifs à l’eau, puissent également y répondre. La communication des données relatives à tous les indicateurs de l’ODD 6 est coordonnée par l’ONU-Eau dans le cadre de l’Initiative pour le suivi intégré de l’ODD 6 (</w:t>
      </w:r>
      <w:hyperlink r:id="rId21">
        <w:r w:rsidRPr="00A074ED">
          <w:rPr>
            <w:rStyle w:val="Hyperlink"/>
            <w:lang w:bidi="fr-FR"/>
          </w:rPr>
          <w:t>IMI-SDG6</w:t>
        </w:r>
      </w:hyperlink>
      <w:r w:rsidRPr="00A074ED">
        <w:rPr>
          <w:lang w:bidi="fr-FR"/>
        </w:rPr>
        <w:t xml:space="preserve">). Cette initiative dote la plupart des pays de « points focaux généralistes » pour l’ODD 6, et de « points focaux techniques » pour chaque indicateur. Les coordonnées de ces points focaux sont disponibles sur demande auprès du </w:t>
      </w:r>
      <w:hyperlink r:id="rId22">
        <w:r w:rsidRPr="00A074ED">
          <w:rPr>
            <w:rStyle w:val="Hyperlink"/>
            <w:lang w:bidi="fr-FR"/>
          </w:rPr>
          <w:t>service d’assistance</w:t>
        </w:r>
      </w:hyperlink>
      <w:r w:rsidRPr="00A074ED">
        <w:rPr>
          <w:lang w:bidi="fr-FR"/>
        </w:rPr>
        <w:t>. L’</w:t>
      </w:r>
      <w:hyperlink w:anchor="_Annexe_3_:">
        <w:r w:rsidRPr="00A074ED">
          <w:rPr>
            <w:rStyle w:val="Hyperlink"/>
            <w:lang w:bidi="fr-FR"/>
          </w:rPr>
          <w:t>annexe 3</w:t>
        </w:r>
      </w:hyperlink>
      <w:r w:rsidRPr="00A074ED">
        <w:rPr>
          <w:lang w:bidi="fr-FR"/>
        </w:rPr>
        <w:t xml:space="preserve"> fournit une liste des questions se rapportant particulièrement aux autres indicateurs des ODD.</w:t>
      </w:r>
    </w:p>
    <w:p w14:paraId="0776F85C" w14:textId="77777777" w:rsidR="00ED102B" w:rsidRPr="00A074ED" w:rsidRDefault="00970943" w:rsidP="001F03EB">
      <w:pPr>
        <w:pStyle w:val="Heading1"/>
        <w:numPr>
          <w:ilvl w:val="0"/>
          <w:numId w:val="27"/>
        </w:numPr>
        <w:ind w:left="284"/>
        <w:rPr>
          <w:lang w:val="fr-FR"/>
        </w:rPr>
      </w:pPr>
      <w:r w:rsidRPr="00A074ED">
        <w:rPr>
          <w:lang w:val="fr-FR"/>
        </w:rPr>
        <w:t xml:space="preserve"> </w:t>
      </w:r>
      <w:r w:rsidR="00ED102B" w:rsidRPr="00A074ED">
        <w:rPr>
          <w:lang w:val="fr-FR"/>
        </w:rPr>
        <w:t>PROCESSUS DE CONSULTATION</w:t>
      </w:r>
    </w:p>
    <w:p w14:paraId="08CE12DF" w14:textId="77777777" w:rsidR="00ED102B" w:rsidRPr="00A074ED" w:rsidRDefault="00ED102B" w:rsidP="00ED102B">
      <w:pPr>
        <w:pStyle w:val="Body"/>
        <w:spacing w:after="120"/>
        <w:jc w:val="both"/>
      </w:pPr>
      <w:r w:rsidRPr="00A074ED">
        <w:rPr>
          <w:lang w:bidi="fr-FR"/>
        </w:rPr>
        <w:t xml:space="preserve">Une large implication des parties prenantes doit être encouragée dans le cadre du processus mis en place pour répondre au questionnaire d’enquête. Cela permet de garantir la fiabilité et la précision des données communiquées. L’expérience tirée des cycles précédents indique que le processus de consultation a permis aux pays d’acquérir une compréhension commune des questions clés et des priorités parmi les différentes parties prenantes. Par ailleurs, une large implication des parties prenantes contribue à faire du questionnaire d’enquête dûment rempli un outil de diagnostic plus pertinent pour éclairer les discussions et la planification à venir (voir la section 7). Considérations relatives au processus de consultation des parties prenantes : </w:t>
      </w:r>
    </w:p>
    <w:p w14:paraId="64B6A530" w14:textId="77777777" w:rsidR="00ED102B" w:rsidRPr="00A074ED" w:rsidRDefault="00ED102B" w:rsidP="00ED102B">
      <w:pPr>
        <w:pStyle w:val="Body"/>
        <w:numPr>
          <w:ilvl w:val="0"/>
          <w:numId w:val="23"/>
        </w:numPr>
        <w:spacing w:after="120"/>
        <w:jc w:val="both"/>
      </w:pPr>
      <w:r w:rsidRPr="00A074ED">
        <w:rPr>
          <w:lang w:bidi="fr-FR"/>
        </w:rPr>
        <w:t xml:space="preserve">Groupes de parties prenantes : parties prenantes gouvernementales et non gouvernementales dans les secteurs et niveaux concernés. Le niveau d’implication peut varier d’un groupe à l’autre. </w:t>
      </w:r>
    </w:p>
    <w:p w14:paraId="4DEC1AC6" w14:textId="77777777" w:rsidR="00ED102B" w:rsidRPr="00A074ED" w:rsidRDefault="00ED102B" w:rsidP="00ED102B">
      <w:pPr>
        <w:pStyle w:val="Body"/>
        <w:numPr>
          <w:ilvl w:val="0"/>
          <w:numId w:val="23"/>
        </w:numPr>
        <w:spacing w:after="120"/>
        <w:jc w:val="both"/>
      </w:pPr>
      <w:r w:rsidRPr="00A074ED">
        <w:rPr>
          <w:lang w:bidi="fr-FR"/>
        </w:rPr>
        <w:t>Modalités de réponse : en série, en parallèle, ou plus vraisemblablement une combinaison de ces deux approches.</w:t>
      </w:r>
    </w:p>
    <w:p w14:paraId="75CBECD4" w14:textId="77777777" w:rsidR="00ED102B" w:rsidRPr="00A074ED" w:rsidRDefault="00ED102B" w:rsidP="00ED102B">
      <w:pPr>
        <w:pStyle w:val="Body"/>
        <w:numPr>
          <w:ilvl w:val="0"/>
          <w:numId w:val="23"/>
        </w:numPr>
        <w:spacing w:after="120"/>
        <w:jc w:val="both"/>
      </w:pPr>
      <w:r w:rsidRPr="00A074ED">
        <w:rPr>
          <w:lang w:bidi="fr-FR"/>
        </w:rPr>
        <w:t xml:space="preserve">Format : en personne, en ligne, ou une combinaison des deux. </w:t>
      </w:r>
    </w:p>
    <w:p w14:paraId="2B49651F" w14:textId="77777777" w:rsidR="00ED102B" w:rsidRPr="00A074ED" w:rsidRDefault="00ED102B" w:rsidP="00ED102B">
      <w:pPr>
        <w:pStyle w:val="Body"/>
        <w:numPr>
          <w:ilvl w:val="0"/>
          <w:numId w:val="23"/>
        </w:numPr>
        <w:spacing w:after="120"/>
        <w:jc w:val="both"/>
      </w:pPr>
      <w:r w:rsidRPr="00A074ED">
        <w:rPr>
          <w:lang w:bidi="fr-FR"/>
        </w:rPr>
        <w:t xml:space="preserve">Bonnes pratiques : comment rendre le processus de consultation inclusif, équitable, consensuel et transparent. </w:t>
      </w:r>
    </w:p>
    <w:p w14:paraId="39B92383" w14:textId="2F5EA39B" w:rsidR="00ED102B" w:rsidRPr="00A074ED" w:rsidRDefault="00ED102B" w:rsidP="00ED102B">
      <w:pPr>
        <w:pStyle w:val="Body"/>
        <w:jc w:val="both"/>
      </w:pPr>
      <w:r w:rsidRPr="00A074ED">
        <w:rPr>
          <w:lang w:bidi="fr-FR"/>
        </w:rPr>
        <w:t xml:space="preserve">Le </w:t>
      </w:r>
      <w:hyperlink r:id="rId23" w:history="1">
        <w:r w:rsidRPr="00A074ED">
          <w:rPr>
            <w:rStyle w:val="Hyperlink"/>
            <w:lang w:bidi="fr-FR"/>
          </w:rPr>
          <w:t>Manuel de consultation des parties prenantes</w:t>
        </w:r>
      </w:hyperlink>
      <w:r w:rsidRPr="00A074ED">
        <w:rPr>
          <w:lang w:bidi="fr-FR"/>
        </w:rPr>
        <w:t xml:space="preserve"> fournit des informations et des orientations supplémentaires, ainsi qu’un exemple de </w:t>
      </w:r>
      <w:hyperlink r:id="rId24" w:history="1">
        <w:r w:rsidRPr="00A074ED">
          <w:rPr>
            <w:rStyle w:val="Hyperlink"/>
            <w:lang w:bidi="fr-FR"/>
          </w:rPr>
          <w:t>programme d’atelier</w:t>
        </w:r>
      </w:hyperlink>
      <w:r w:rsidRPr="00A074ED">
        <w:rPr>
          <w:lang w:bidi="fr-FR"/>
        </w:rPr>
        <w:t xml:space="preserve">, un </w:t>
      </w:r>
      <w:hyperlink r:id="rId25" w:history="1">
        <w:r w:rsidRPr="00A074ED">
          <w:rPr>
            <w:rStyle w:val="Hyperlink"/>
            <w:lang w:bidi="fr-FR"/>
          </w:rPr>
          <w:t>modèle de rapport de consultation</w:t>
        </w:r>
      </w:hyperlink>
      <w:r w:rsidRPr="00A074ED">
        <w:rPr>
          <w:lang w:bidi="fr-FR"/>
        </w:rPr>
        <w:t xml:space="preserve"> facultatif, ainsi qu’un </w:t>
      </w:r>
      <w:hyperlink r:id="rId26" w:history="1">
        <w:r w:rsidRPr="00A074ED">
          <w:rPr>
            <w:rStyle w:val="Hyperlink"/>
            <w:lang w:bidi="fr-FR"/>
          </w:rPr>
          <w:t>mandat d’animateur</w:t>
        </w:r>
      </w:hyperlink>
      <w:r w:rsidRPr="00A074ED">
        <w:rPr>
          <w:lang w:bidi="fr-FR"/>
        </w:rPr>
        <w:t xml:space="preserve">. Autres outils et ressources disponibles : </w:t>
      </w:r>
      <w:hyperlink r:id="rId27" w:history="1">
        <w:r w:rsidRPr="00A074ED">
          <w:rPr>
            <w:rStyle w:val="Hyperlink"/>
            <w:lang w:bidi="fr-FR"/>
          </w:rPr>
          <w:t>aperçu de l’enquête (une page)</w:t>
        </w:r>
      </w:hyperlink>
      <w:r w:rsidRPr="00A074ED">
        <w:rPr>
          <w:lang w:bidi="fr-FR"/>
        </w:rPr>
        <w:t xml:space="preserve"> ; </w:t>
      </w:r>
      <w:hyperlink r:id="rId28" w:history="1">
        <w:r w:rsidRPr="00A074ED">
          <w:rPr>
            <w:rStyle w:val="Hyperlink"/>
            <w:lang w:bidi="fr-FR"/>
          </w:rPr>
          <w:t>outil d’enquête en ligne sur la GIRE </w:t>
        </w:r>
      </w:hyperlink>
      <w:r w:rsidRPr="00A074ED">
        <w:rPr>
          <w:lang w:bidi="fr-FR"/>
        </w:rPr>
        <w:t xml:space="preserve">; </w:t>
      </w:r>
      <w:hyperlink r:id="rId29">
        <w:r w:rsidRPr="00A074ED">
          <w:rPr>
            <w:rStyle w:val="Hyperlink"/>
            <w:lang w:bidi="fr-FR"/>
          </w:rPr>
          <w:t xml:space="preserve">résumés </w:t>
        </w:r>
        <w:r w:rsidRPr="00A074ED">
          <w:rPr>
            <w:rStyle w:val="Hyperlink"/>
            <w:lang w:bidi="fr-FR"/>
          </w:rPr>
          <w:lastRenderedPageBreak/>
          <w:t>par pays</w:t>
        </w:r>
      </w:hyperlink>
      <w:r w:rsidRPr="00A074ED">
        <w:rPr>
          <w:lang w:bidi="fr-FR"/>
        </w:rPr>
        <w:t xml:space="preserve"> pour 2017 et 2020 (deux pages) ; </w:t>
      </w:r>
      <w:hyperlink r:id="rId30" w:history="1">
        <w:r w:rsidRPr="00A074ED">
          <w:rPr>
            <w:rStyle w:val="Hyperlink"/>
            <w:lang w:bidi="fr-FR"/>
          </w:rPr>
          <w:t>formation des animateurs sur l’indicateur 6.5.1</w:t>
        </w:r>
      </w:hyperlink>
      <w:r w:rsidRPr="00A074ED">
        <w:rPr>
          <w:u w:val="single"/>
          <w:lang w:bidi="fr-FR"/>
        </w:rPr>
        <w:t xml:space="preserve"> </w:t>
      </w:r>
      <w:r w:rsidRPr="00A074ED">
        <w:rPr>
          <w:lang w:bidi="fr-FR"/>
        </w:rPr>
        <w:t xml:space="preserve">(formation en ligne gratuite, à suivre à son propre rythme, sur la conduite du processus de consultation des parties prenantes ; disponible en anglais, en espagnol et en français ; durée approximative : 4 à 6 heures) ; </w:t>
      </w:r>
      <w:hyperlink r:id="rId31" w:history="1">
        <w:r w:rsidRPr="00A074ED">
          <w:rPr>
            <w:rStyle w:val="Hyperlink"/>
            <w:lang w:bidi="fr-FR"/>
          </w:rPr>
          <w:t>liste de vérification sur l’égalité des genres</w:t>
        </w:r>
      </w:hyperlink>
      <w:r w:rsidRPr="00A074ED">
        <w:rPr>
          <w:lang w:bidi="fr-FR"/>
        </w:rPr>
        <w:t xml:space="preserve">. </w:t>
      </w:r>
    </w:p>
    <w:p w14:paraId="0FDDF587" w14:textId="4D1A8F9E" w:rsidR="00ED102B" w:rsidRPr="00A074ED" w:rsidRDefault="00ED102B" w:rsidP="001F03EB">
      <w:pPr>
        <w:pStyle w:val="Heading1"/>
        <w:numPr>
          <w:ilvl w:val="0"/>
          <w:numId w:val="27"/>
        </w:numPr>
        <w:ind w:left="284"/>
        <w:rPr>
          <w:lang w:val="fr-FR"/>
        </w:rPr>
      </w:pPr>
      <w:r w:rsidRPr="00A074ED">
        <w:rPr>
          <w:lang w:val="fr-FR"/>
        </w:rPr>
        <w:t>SOUMISSION ET ASSURANCE QUALITE</w:t>
      </w:r>
    </w:p>
    <w:p w14:paraId="615498D6" w14:textId="77777777" w:rsidR="00ED102B" w:rsidRPr="00A074ED" w:rsidRDefault="00ED102B" w:rsidP="00CC50EC">
      <w:pPr>
        <w:pStyle w:val="Body"/>
        <w:spacing w:after="120"/>
        <w:jc w:val="both"/>
      </w:pPr>
      <w:r w:rsidRPr="00A074ED">
        <w:rPr>
          <w:lang w:bidi="fr-FR"/>
        </w:rPr>
        <w:t xml:space="preserve">Le processus de soumission se déroule comme suit : </w:t>
      </w:r>
    </w:p>
    <w:p w14:paraId="05782BD4" w14:textId="77777777" w:rsidR="00ED102B" w:rsidRPr="00A074ED" w:rsidRDefault="00ED102B" w:rsidP="00CC50EC">
      <w:pPr>
        <w:pStyle w:val="Body"/>
        <w:numPr>
          <w:ilvl w:val="0"/>
          <w:numId w:val="25"/>
        </w:numPr>
        <w:spacing w:after="120"/>
        <w:jc w:val="both"/>
      </w:pPr>
      <w:r w:rsidRPr="00A074ED">
        <w:rPr>
          <w:u w:val="single"/>
          <w:lang w:bidi="fr-FR"/>
        </w:rPr>
        <w:t>Versions provisoires :</w:t>
      </w:r>
      <w:r w:rsidRPr="00A074ED">
        <w:rPr>
          <w:lang w:bidi="fr-FR"/>
        </w:rPr>
        <w:t xml:space="preserve"> Les points focaux sont encouragés à transmettre des « versions provisoires » du questionnaire rempli au service d’assistance, afin que celui-ci leur fournisse des commentaires et des éclaircissements de manière informelle</w:t>
      </w:r>
      <w:r w:rsidRPr="00A074ED">
        <w:rPr>
          <w:vertAlign w:val="superscript"/>
          <w:lang w:bidi="fr-FR"/>
        </w:rPr>
        <w:footnoteReference w:id="2"/>
      </w:r>
      <w:r w:rsidRPr="00A074ED">
        <w:rPr>
          <w:lang w:bidi="fr-FR"/>
        </w:rPr>
        <w:t>.</w:t>
      </w:r>
    </w:p>
    <w:p w14:paraId="6E360E93" w14:textId="77777777" w:rsidR="00ED102B" w:rsidRPr="00A074ED" w:rsidRDefault="00ED102B" w:rsidP="00CC50EC">
      <w:pPr>
        <w:pStyle w:val="Body"/>
        <w:numPr>
          <w:ilvl w:val="0"/>
          <w:numId w:val="25"/>
        </w:numPr>
        <w:spacing w:after="120"/>
        <w:jc w:val="both"/>
      </w:pPr>
      <w:r w:rsidRPr="00A074ED">
        <w:rPr>
          <w:u w:val="single"/>
          <w:lang w:bidi="fr-FR"/>
        </w:rPr>
        <w:t>Version finale :</w:t>
      </w:r>
      <w:r w:rsidRPr="00A074ED">
        <w:rPr>
          <w:lang w:bidi="fr-FR"/>
        </w:rPr>
        <w:t xml:space="preserve"> Les points focaux sont chargés de soumettre la version finale du questionnaire rempli au service d’assistance, à l’adresse suivante : </w:t>
      </w:r>
      <w:hyperlink r:id="rId32">
        <w:r w:rsidRPr="00A074ED">
          <w:rPr>
            <w:rStyle w:val="Hyperlink"/>
            <w:lang w:bidi="fr-FR"/>
          </w:rPr>
          <w:t>iwrmsdg651@un.org</w:t>
        </w:r>
      </w:hyperlink>
      <w:r w:rsidRPr="00A074ED">
        <w:rPr>
          <w:lang w:bidi="fr-FR"/>
        </w:rPr>
        <w:t>. Le processus national d’approbation correspondant doit être appliqué.</w:t>
      </w:r>
      <w:r w:rsidRPr="00A074ED">
        <w:rPr>
          <w:vertAlign w:val="superscript"/>
          <w:lang w:bidi="fr-FR"/>
        </w:rPr>
        <w:footnoteReference w:id="3"/>
      </w:r>
      <w:r w:rsidRPr="00A074ED">
        <w:rPr>
          <w:lang w:bidi="fr-FR"/>
        </w:rPr>
        <w:t xml:space="preserve"> </w:t>
      </w:r>
    </w:p>
    <w:p w14:paraId="2AD9FDD6" w14:textId="77777777" w:rsidR="00ED102B" w:rsidRPr="00A074ED" w:rsidRDefault="00ED102B" w:rsidP="00CC50EC">
      <w:pPr>
        <w:pStyle w:val="Body"/>
        <w:numPr>
          <w:ilvl w:val="0"/>
          <w:numId w:val="25"/>
        </w:numPr>
        <w:spacing w:after="120"/>
        <w:jc w:val="both"/>
      </w:pPr>
      <w:r w:rsidRPr="00A074ED">
        <w:rPr>
          <w:u w:val="single"/>
          <w:lang w:bidi="fr-FR"/>
        </w:rPr>
        <w:t>Assurance qualité :</w:t>
      </w:r>
      <w:r w:rsidRPr="00A074ED">
        <w:rPr>
          <w:lang w:bidi="fr-FR"/>
        </w:rPr>
        <w:t xml:space="preserve"> le service d’assistance appliquera les procédures d’assurance qualité types (disponibles sur demande) afin de vérifier que le questionnaire d’enquête a été rempli correctement, en utilisant la formule appropriée pour calculer les notes de l’indicateur. </w:t>
      </w:r>
    </w:p>
    <w:p w14:paraId="07EBCBE5" w14:textId="77777777" w:rsidR="00ED102B" w:rsidRPr="00A074ED" w:rsidRDefault="00ED102B" w:rsidP="00CC50EC">
      <w:pPr>
        <w:pStyle w:val="Body"/>
        <w:numPr>
          <w:ilvl w:val="0"/>
          <w:numId w:val="25"/>
        </w:numPr>
        <w:spacing w:after="120"/>
        <w:jc w:val="both"/>
      </w:pPr>
      <w:r w:rsidRPr="00A074ED">
        <w:rPr>
          <w:u w:val="single"/>
          <w:lang w:bidi="fr-FR"/>
        </w:rPr>
        <w:t>Établissement de la version définitive :</w:t>
      </w:r>
      <w:r w:rsidRPr="00A074ED">
        <w:rPr>
          <w:lang w:bidi="fr-FR"/>
        </w:rPr>
        <w:t xml:space="preserve"> lorsque le point focal et le service d’assistance se sont assurés que tous les critères d’assurance qualité étaient remplis, le service d’assistance appose la mention « Version finale » sur le questionnaire d’enquête et le transmet au point focal. </w:t>
      </w:r>
    </w:p>
    <w:p w14:paraId="7BF9B8CD" w14:textId="77777777" w:rsidR="00ED102B" w:rsidRPr="00A074ED" w:rsidRDefault="00ED102B" w:rsidP="00ED102B">
      <w:pPr>
        <w:pStyle w:val="Body"/>
        <w:jc w:val="both"/>
      </w:pPr>
      <w:r w:rsidRPr="00A074ED">
        <w:rPr>
          <w:lang w:bidi="fr-FR"/>
        </w:rPr>
        <w:t xml:space="preserve">La date limite de soumission de la </w:t>
      </w:r>
      <w:r w:rsidRPr="00A074ED">
        <w:rPr>
          <w:b/>
          <w:lang w:bidi="fr-FR"/>
        </w:rPr>
        <w:t>version finale est fixée au</w:t>
      </w:r>
      <w:r w:rsidRPr="00A074ED">
        <w:rPr>
          <w:lang w:bidi="fr-FR"/>
        </w:rPr>
        <w:t xml:space="preserve"> </w:t>
      </w:r>
      <w:r w:rsidRPr="00A074ED">
        <w:rPr>
          <w:b/>
          <w:lang w:bidi="fr-FR"/>
        </w:rPr>
        <w:t>1</w:t>
      </w:r>
      <w:r w:rsidRPr="00A074ED">
        <w:rPr>
          <w:b/>
          <w:vertAlign w:val="superscript"/>
          <w:lang w:bidi="fr-FR"/>
        </w:rPr>
        <w:t>er</w:t>
      </w:r>
      <w:r w:rsidRPr="00A074ED">
        <w:rPr>
          <w:b/>
          <w:lang w:bidi="fr-FR"/>
        </w:rPr>
        <w:t> octobre 2023</w:t>
      </w:r>
      <w:r w:rsidRPr="00A074ED">
        <w:rPr>
          <w:lang w:bidi="fr-FR"/>
        </w:rPr>
        <w:t xml:space="preserve">. Les points focaux seront informés de toute modification du calendrier par l’intermédiaire du service d’assistance. Les points focaux sont invités à tenir le service d’assistance informé de l’avancement du processus de réponse au questionnaire, et doivent l’avertir de toute difficulté à respecter les délais fixés. </w:t>
      </w:r>
    </w:p>
    <w:p w14:paraId="3F600B6D" w14:textId="213F7248" w:rsidR="00795FFC" w:rsidRPr="00A074ED" w:rsidRDefault="00ED102B" w:rsidP="00CC50EC">
      <w:pPr>
        <w:pStyle w:val="Body"/>
        <w:jc w:val="both"/>
      </w:pPr>
      <w:r w:rsidRPr="00A074ED">
        <w:rPr>
          <w:lang w:bidi="fr-FR"/>
        </w:rPr>
        <w:t xml:space="preserve">Sur demande, le </w:t>
      </w:r>
      <w:hyperlink r:id="rId33" w:history="1">
        <w:r w:rsidRPr="00A074ED">
          <w:rPr>
            <w:rStyle w:val="Hyperlink"/>
            <w:lang w:bidi="fr-FR"/>
          </w:rPr>
          <w:t>service d’assistance</w:t>
        </w:r>
      </w:hyperlink>
      <w:r w:rsidRPr="00A074ED">
        <w:rPr>
          <w:lang w:bidi="fr-FR"/>
        </w:rPr>
        <w:t xml:space="preserve"> peut apporter son appui aux points focaux nationaux sur des sujets tels que l’interprétation des questions et des seuils, le niveau approprié d’implication des parties prenantes, ainsi que pour la soumission du questionnaire. Un </w:t>
      </w:r>
      <w:hyperlink r:id="rId34" w:history="1">
        <w:r w:rsidRPr="00A074ED">
          <w:rPr>
            <w:rStyle w:val="Hyperlink"/>
            <w:lang w:bidi="fr-FR"/>
          </w:rPr>
          <w:t>modèle de calcul</w:t>
        </w:r>
      </w:hyperlink>
      <w:r w:rsidRPr="00A074ED">
        <w:rPr>
          <w:lang w:bidi="fr-FR"/>
        </w:rPr>
        <w:t xml:space="preserve"> simple est mis à disposition afin de garantir un calcul correct des notes relatives aux dimensions et à l’indicateur. </w:t>
      </w:r>
    </w:p>
    <w:p w14:paraId="56B32630" w14:textId="77777777" w:rsidR="00C42BB9" w:rsidRPr="00A074ED" w:rsidRDefault="00C42BB9" w:rsidP="00C42BB9">
      <w:pPr>
        <w:pStyle w:val="Heading1"/>
        <w:rPr>
          <w:lang w:val="fr-FR"/>
        </w:rPr>
      </w:pPr>
    </w:p>
    <w:p w14:paraId="7C9822FE" w14:textId="77777777" w:rsidR="00CC50EC" w:rsidRPr="00A074ED" w:rsidRDefault="00CC50EC" w:rsidP="001F03EB">
      <w:pPr>
        <w:pStyle w:val="Heading1"/>
        <w:numPr>
          <w:ilvl w:val="0"/>
          <w:numId w:val="27"/>
        </w:numPr>
        <w:ind w:left="284"/>
        <w:rPr>
          <w:lang w:val="fr-FR"/>
        </w:rPr>
      </w:pPr>
      <w:r w:rsidRPr="00A074ED">
        <w:rPr>
          <w:lang w:val="fr-FR"/>
        </w:rPr>
        <w:lastRenderedPageBreak/>
        <w:t xml:space="preserve">APRES LA SOUMISSION DU QUESTIONNAIRE </w:t>
      </w:r>
    </w:p>
    <w:p w14:paraId="4FCA93DF" w14:textId="77777777" w:rsidR="00CC50EC" w:rsidRPr="00A074ED" w:rsidRDefault="00CC50EC" w:rsidP="00CC50EC">
      <w:pPr>
        <w:pStyle w:val="Body"/>
        <w:jc w:val="both"/>
      </w:pPr>
      <w:r w:rsidRPr="00A074ED">
        <w:rPr>
          <w:lang w:bidi="fr-FR"/>
        </w:rPr>
        <w:t>Le processus de suivi a lieu environ tous les trois ans</w:t>
      </w:r>
      <w:r w:rsidRPr="00A074ED">
        <w:rPr>
          <w:vertAlign w:val="superscript"/>
          <w:lang w:bidi="fr-FR"/>
        </w:rPr>
        <w:footnoteReference w:id="4"/>
      </w:r>
      <w:r w:rsidRPr="00A074ED">
        <w:rPr>
          <w:lang w:bidi="fr-FR"/>
        </w:rPr>
        <w:t>. Après chaque cycle de suivi, le PNUE et ses partenaires sont chargés :</w:t>
      </w:r>
    </w:p>
    <w:p w14:paraId="2997B1FF" w14:textId="77777777" w:rsidR="00CC50EC" w:rsidRPr="00A074ED" w:rsidRDefault="00CC50EC" w:rsidP="00CC50EC">
      <w:pPr>
        <w:pStyle w:val="Body"/>
        <w:numPr>
          <w:ilvl w:val="0"/>
          <w:numId w:val="23"/>
        </w:numPr>
        <w:jc w:val="both"/>
      </w:pPr>
      <w:proofErr w:type="gramStart"/>
      <w:r w:rsidRPr="00A074ED">
        <w:rPr>
          <w:lang w:bidi="fr-FR"/>
        </w:rPr>
        <w:t>de</w:t>
      </w:r>
      <w:proofErr w:type="gramEnd"/>
      <w:r w:rsidRPr="00A074ED">
        <w:rPr>
          <w:lang w:bidi="fr-FR"/>
        </w:rPr>
        <w:t xml:space="preserve"> partager les résultats sur le </w:t>
      </w:r>
      <w:hyperlink r:id="rId35" w:history="1">
        <w:r w:rsidRPr="00A074ED">
          <w:rPr>
            <w:rStyle w:val="Hyperlink"/>
            <w:lang w:bidi="fr-FR"/>
          </w:rPr>
          <w:t>portail de données sur la GIRE</w:t>
        </w:r>
      </w:hyperlink>
      <w:r w:rsidRPr="00A074ED">
        <w:rPr>
          <w:lang w:bidi="fr-FR"/>
        </w:rPr>
        <w:t xml:space="preserve"> et de préparer un rapport sur l’état d’avancement au niveau mondial ; et</w:t>
      </w:r>
    </w:p>
    <w:p w14:paraId="3B945143" w14:textId="77777777" w:rsidR="00CC50EC" w:rsidRPr="00A074ED" w:rsidRDefault="00CC50EC" w:rsidP="00CC50EC">
      <w:pPr>
        <w:pStyle w:val="Body"/>
        <w:numPr>
          <w:ilvl w:val="0"/>
          <w:numId w:val="23"/>
        </w:numPr>
        <w:jc w:val="both"/>
      </w:pPr>
      <w:proofErr w:type="gramStart"/>
      <w:r w:rsidRPr="00A074ED">
        <w:rPr>
          <w:lang w:bidi="fr-FR"/>
        </w:rPr>
        <w:t>de</w:t>
      </w:r>
      <w:proofErr w:type="gramEnd"/>
      <w:r w:rsidRPr="00A074ED">
        <w:rPr>
          <w:lang w:bidi="fr-FR"/>
        </w:rPr>
        <w:t xml:space="preserve"> communiquer les données à la Division de statistique de l’ONU afin de </w:t>
      </w:r>
      <w:hyperlink r:id="rId36">
        <w:r w:rsidRPr="00A074ED">
          <w:rPr>
            <w:rStyle w:val="Hyperlink"/>
            <w:lang w:bidi="fr-FR"/>
          </w:rPr>
          <w:t>suivre les progrès accomplis vers la réalisation des ODD</w:t>
        </w:r>
      </w:hyperlink>
      <w:r w:rsidRPr="00A074ED">
        <w:rPr>
          <w:lang w:bidi="fr-FR"/>
        </w:rPr>
        <w:t>.</w:t>
      </w:r>
    </w:p>
    <w:p w14:paraId="43FE5813" w14:textId="77777777" w:rsidR="00CC50EC" w:rsidRPr="00A074ED" w:rsidRDefault="00CC50EC" w:rsidP="00CC50EC">
      <w:pPr>
        <w:pStyle w:val="Body"/>
        <w:jc w:val="both"/>
      </w:pPr>
      <w:r w:rsidRPr="00A074ED">
        <w:rPr>
          <w:lang w:bidi="fr-FR"/>
        </w:rPr>
        <w:t xml:space="preserve">Les points focaux pour l’indicateur 6.5.1 sont encouragés à partager les résultats obtenus, à mobiliser des ressources et à examiner les étapes à suivre avec les décideurs concernés, en s’appuyant sur les </w:t>
      </w:r>
      <w:hyperlink r:id="rId37" w:history="1">
        <w:r w:rsidRPr="00A074ED">
          <w:rPr>
            <w:rStyle w:val="Hyperlink"/>
            <w:lang w:bidi="fr-FR"/>
          </w:rPr>
          <w:t>résumés par pays</w:t>
        </w:r>
      </w:hyperlink>
      <w:r w:rsidRPr="00A074ED">
        <w:rPr>
          <w:lang w:bidi="fr-FR"/>
        </w:rPr>
        <w:t xml:space="preserve"> accessibles depuis le </w:t>
      </w:r>
      <w:hyperlink r:id="rId38" w:history="1">
        <w:r w:rsidRPr="00A074ED">
          <w:rPr>
            <w:rStyle w:val="Hyperlink"/>
            <w:lang w:bidi="fr-FR"/>
          </w:rPr>
          <w:t>portail de données sur la GIRE</w:t>
        </w:r>
      </w:hyperlink>
      <w:r w:rsidRPr="00A074ED">
        <w:rPr>
          <w:lang w:bidi="fr-FR"/>
        </w:rPr>
        <w:t xml:space="preserve">. Pour obtenir des orientations et des informations supplémentaires, voir le document intitulé « Suivi : exploiter le questionnaire d’enquête » (à paraître). </w:t>
      </w:r>
    </w:p>
    <w:p w14:paraId="0F85977D" w14:textId="727F25CD" w:rsidR="00CC50EC" w:rsidRPr="00A074ED" w:rsidRDefault="00CC50EC" w:rsidP="00CC50EC">
      <w:pPr>
        <w:pStyle w:val="Body"/>
        <w:jc w:val="both"/>
      </w:pPr>
      <w:r w:rsidRPr="00A074ED">
        <w:rPr>
          <w:lang w:bidi="fr-FR"/>
        </w:rPr>
        <w:t>Le Programme de soutien à l’ODD 6 GIRE accompagne un petit nombre de pays sur les plans technique et financier pour leur permettre d’élaborer un plan d’action relatif à la GIRE. Les pays intéressés peuvent contacter le Programme de soutien pour obtenir de plus amples informations (</w:t>
      </w:r>
      <w:hyperlink r:id="rId39">
        <w:r w:rsidRPr="00A074ED">
          <w:rPr>
            <w:rStyle w:val="Hyperlink"/>
            <w:lang w:bidi="fr-FR"/>
          </w:rPr>
          <w:t>sdg6iwrmsp@gwp.org</w:t>
        </w:r>
      </w:hyperlink>
      <w:r w:rsidRPr="00A074ED">
        <w:rPr>
          <w:lang w:bidi="fr-FR"/>
        </w:rPr>
        <w:t xml:space="preserve">), et visualiser les plans d’action relatifs à la GIRE existants sur la </w:t>
      </w:r>
      <w:hyperlink r:id="rId40" w:history="1">
        <w:r w:rsidRPr="00A074ED">
          <w:rPr>
            <w:rStyle w:val="Hyperlink"/>
            <w:lang w:bidi="fr-FR"/>
          </w:rPr>
          <w:t>carte des résultats</w:t>
        </w:r>
      </w:hyperlink>
      <w:r w:rsidRPr="00A074ED">
        <w:rPr>
          <w:lang w:bidi="fr-FR"/>
        </w:rPr>
        <w:t>. </w:t>
      </w:r>
    </w:p>
    <w:p w14:paraId="13114DEF" w14:textId="77777777" w:rsidR="00CC50EC" w:rsidRPr="00A074ED" w:rsidRDefault="00CC50EC" w:rsidP="00CC50EC">
      <w:pPr>
        <w:pStyle w:val="Body"/>
        <w:jc w:val="both"/>
      </w:pPr>
      <w:r w:rsidRPr="00A074ED">
        <w:rPr>
          <w:lang w:bidi="fr-FR"/>
        </w:rPr>
        <w:t xml:space="preserve">Les pays sont encouragés à échanger avec leurs voisins afin de partager leurs expériences et d’envisager des possibilités de collaboration. Le Programme de soutien à l’ODD 6 GIRE peut appuyer le travail entrepris avec les organismes régionaux afin d’élaborer conjointement des évaluations et des produits permettant de faire avancer la mise en œuvre de la GIRE aux niveaux national et </w:t>
      </w:r>
      <w:hyperlink r:id="rId41">
        <w:r w:rsidRPr="00A074ED">
          <w:rPr>
            <w:rStyle w:val="Hyperlink"/>
            <w:lang w:bidi="fr-FR"/>
          </w:rPr>
          <w:t>régional</w:t>
        </w:r>
      </w:hyperlink>
      <w:r w:rsidRPr="00A074ED">
        <w:rPr>
          <w:lang w:bidi="fr-FR"/>
        </w:rPr>
        <w:t>.</w:t>
      </w:r>
    </w:p>
    <w:p w14:paraId="7C3C19C9" w14:textId="77777777" w:rsidR="00CC50EC" w:rsidRPr="00A074ED" w:rsidRDefault="00CC50EC" w:rsidP="568FBF53">
      <w:pPr>
        <w:pStyle w:val="Body"/>
        <w:jc w:val="both"/>
      </w:pPr>
    </w:p>
    <w:p w14:paraId="01A23D41" w14:textId="300F9E62" w:rsidR="00970943" w:rsidRPr="00A074ED" w:rsidRDefault="00970943" w:rsidP="0098576D">
      <w:pPr>
        <w:pStyle w:val="Body"/>
        <w:jc w:val="both"/>
      </w:pPr>
      <w:r w:rsidRPr="00A074ED">
        <w:br w:type="page"/>
      </w:r>
    </w:p>
    <w:p w14:paraId="2DB8A74B" w14:textId="77777777" w:rsidR="00970943" w:rsidRPr="00A074ED" w:rsidRDefault="00970943" w:rsidP="00891514">
      <w:pPr>
        <w:pStyle w:val="Heading1"/>
        <w:spacing w:after="0"/>
        <w:rPr>
          <w:lang w:val="fr-FR"/>
        </w:rPr>
      </w:pPr>
      <w:r w:rsidRPr="00A074ED">
        <w:rPr>
          <w:lang w:val="fr-FR"/>
        </w:rPr>
        <w:lastRenderedPageBreak/>
        <w:t>ANNEXES</w:t>
      </w:r>
    </w:p>
    <w:p w14:paraId="12338E23" w14:textId="77777777" w:rsidR="001A50AA" w:rsidRPr="00A074ED" w:rsidRDefault="001A50AA" w:rsidP="00891514">
      <w:pPr>
        <w:pStyle w:val="Heading2"/>
        <w:spacing w:before="120"/>
        <w:rPr>
          <w:lang w:val="fr-FR" w:bidi="fr-FR"/>
        </w:rPr>
      </w:pPr>
      <w:bookmarkStart w:id="0" w:name="_ANNEX_1:_SUMMARY"/>
      <w:bookmarkStart w:id="1" w:name="_Annexe_1_:"/>
      <w:bookmarkEnd w:id="0"/>
      <w:bookmarkEnd w:id="1"/>
      <w:r w:rsidRPr="00A074ED">
        <w:rPr>
          <w:lang w:val="fr-FR" w:bidi="fr-FR"/>
        </w:rPr>
        <w:t>Annexe 1 : Ressources supplémentaires/facultatives</w:t>
      </w:r>
    </w:p>
    <w:p w14:paraId="5291C036" w14:textId="77777777" w:rsidR="001A50AA" w:rsidRPr="00A074ED" w:rsidRDefault="001A50AA" w:rsidP="001A50AA">
      <w:pPr>
        <w:pStyle w:val="Body"/>
        <w:tabs>
          <w:tab w:val="left" w:pos="6663"/>
        </w:tabs>
        <w:jc w:val="both"/>
      </w:pPr>
      <w:r w:rsidRPr="00A074ED">
        <w:rPr>
          <w:lang w:bidi="fr-FR"/>
        </w:rPr>
        <w:t xml:space="preserve">Le tableau ci-dessous présente de manière synthétique les ressources facultatives à la disposition des points focaux et des collègues qui souhaiteraient obtenir des informations, des orientations ou des outils supplémentaires. Il n’est pas nécessaire de lire l’intégralité de ces documents pour pouvoir remplir correctement le questionnaire d’enquête sur l’indicateur 6.5.1. </w:t>
      </w:r>
    </w:p>
    <w:tbl>
      <w:tblPr>
        <w:tblStyle w:val="TableGridLight"/>
        <w:tblW w:w="9067" w:type="dxa"/>
        <w:tblLayout w:type="fixed"/>
        <w:tblLook w:val="04A0" w:firstRow="1" w:lastRow="0" w:firstColumn="1" w:lastColumn="0" w:noHBand="0" w:noVBand="1"/>
      </w:tblPr>
      <w:tblGrid>
        <w:gridCol w:w="2689"/>
        <w:gridCol w:w="5103"/>
        <w:gridCol w:w="1275"/>
      </w:tblGrid>
      <w:tr w:rsidR="001A50AA" w:rsidRPr="00A074ED" w14:paraId="35BB455D" w14:textId="77777777" w:rsidTr="00891514">
        <w:trPr>
          <w:trHeight w:val="290"/>
        </w:trPr>
        <w:tc>
          <w:tcPr>
            <w:tcW w:w="2689" w:type="dxa"/>
            <w:shd w:val="clear" w:color="auto" w:fill="194869" w:themeFill="accent1"/>
          </w:tcPr>
          <w:p w14:paraId="5B6F4AE3" w14:textId="240DF34C" w:rsidR="001A50AA" w:rsidRPr="00A074ED" w:rsidRDefault="001A50AA" w:rsidP="00891514">
            <w:pPr>
              <w:rPr>
                <w:b/>
                <w:bCs/>
                <w:color w:val="FFFFFF" w:themeColor="background1"/>
                <w:lang w:val="fr-FR"/>
              </w:rPr>
            </w:pPr>
            <w:r w:rsidRPr="00A074ED">
              <w:rPr>
                <w:b/>
                <w:color w:val="FFFFFF" w:themeColor="background1"/>
                <w:lang w:val="fr-FR" w:bidi="fr-FR"/>
              </w:rPr>
              <w:t>ODD 651</w:t>
            </w:r>
            <w:r w:rsidR="00342B25" w:rsidRPr="00A074ED">
              <w:rPr>
                <w:b/>
                <w:color w:val="FFFFFF" w:themeColor="background1"/>
                <w:lang w:val="fr-FR" w:bidi="fr-FR"/>
              </w:rPr>
              <w:t xml:space="preserve"> </w:t>
            </w:r>
            <w:r w:rsidRPr="00A074ED">
              <w:rPr>
                <w:b/>
                <w:color w:val="FFFFFF" w:themeColor="background1"/>
                <w:lang w:val="fr-FR" w:bidi="fr-FR"/>
              </w:rPr>
              <w:t>– Ressources</w:t>
            </w:r>
          </w:p>
        </w:tc>
        <w:tc>
          <w:tcPr>
            <w:tcW w:w="5103" w:type="dxa"/>
            <w:shd w:val="clear" w:color="auto" w:fill="194869" w:themeFill="accent1"/>
          </w:tcPr>
          <w:p w14:paraId="5798BCB5" w14:textId="53B9582D" w:rsidR="001A50AA" w:rsidRPr="00A074ED" w:rsidRDefault="001A50AA" w:rsidP="00891514">
            <w:pPr>
              <w:rPr>
                <w:b/>
                <w:bCs/>
                <w:color w:val="FFFFFF" w:themeColor="background1"/>
                <w:lang w:val="fr-FR"/>
              </w:rPr>
            </w:pPr>
            <w:r w:rsidRPr="00A074ED">
              <w:rPr>
                <w:b/>
                <w:color w:val="FFFFFF" w:themeColor="background1"/>
                <w:lang w:val="fr-FR" w:bidi="fr-FR"/>
              </w:rPr>
              <w:t>Description</w:t>
            </w:r>
          </w:p>
        </w:tc>
        <w:tc>
          <w:tcPr>
            <w:tcW w:w="1275" w:type="dxa"/>
            <w:shd w:val="clear" w:color="auto" w:fill="194869" w:themeFill="accent1"/>
          </w:tcPr>
          <w:p w14:paraId="198C4838" w14:textId="16C43625" w:rsidR="001A50AA" w:rsidRPr="00A074ED" w:rsidRDefault="001A50AA" w:rsidP="00891514">
            <w:pPr>
              <w:rPr>
                <w:b/>
                <w:bCs/>
                <w:color w:val="FFFFFF" w:themeColor="background1"/>
                <w:lang w:val="fr-FR"/>
              </w:rPr>
            </w:pPr>
            <w:r w:rsidRPr="00A074ED">
              <w:rPr>
                <w:b/>
                <w:color w:val="FFFFFF" w:themeColor="background1"/>
                <w:lang w:val="fr-FR" w:bidi="fr-FR"/>
              </w:rPr>
              <w:t>Langues*</w:t>
            </w:r>
          </w:p>
        </w:tc>
      </w:tr>
      <w:tr w:rsidR="003E6826" w:rsidRPr="00A074ED" w14:paraId="5C004EAA" w14:textId="77777777" w:rsidTr="00891514">
        <w:trPr>
          <w:trHeight w:val="290"/>
        </w:trPr>
        <w:tc>
          <w:tcPr>
            <w:tcW w:w="9067" w:type="dxa"/>
            <w:gridSpan w:val="3"/>
            <w:shd w:val="clear" w:color="auto" w:fill="DBEFF1" w:themeFill="accent4" w:themeFillTint="33"/>
          </w:tcPr>
          <w:p w14:paraId="6C60E363" w14:textId="100E58BB" w:rsidR="00970943" w:rsidRPr="00A074ED" w:rsidRDefault="005A4803" w:rsidP="00891514">
            <w:pPr>
              <w:rPr>
                <w:b/>
                <w:bCs/>
                <w:color w:val="12354E" w:themeColor="accent1" w:themeShade="BF"/>
                <w:lang w:val="fr-FR"/>
              </w:rPr>
            </w:pPr>
            <w:r w:rsidRPr="00A074ED">
              <w:rPr>
                <w:b/>
                <w:bCs/>
                <w:color w:val="12354E" w:themeColor="accent1" w:themeShade="BF"/>
                <w:lang w:val="fr-FR" w:bidi="fr-FR"/>
              </w:rPr>
              <w:t>Ressources synthétiques disponibles en différents formats</w:t>
            </w:r>
          </w:p>
        </w:tc>
      </w:tr>
      <w:tr w:rsidR="005A4803" w:rsidRPr="00A074ED" w14:paraId="4F270B4F" w14:textId="77777777" w:rsidTr="00891514">
        <w:trPr>
          <w:trHeight w:val="810"/>
        </w:trPr>
        <w:tc>
          <w:tcPr>
            <w:tcW w:w="2689" w:type="dxa"/>
          </w:tcPr>
          <w:p w14:paraId="12D6B9C9" w14:textId="05178DDE" w:rsidR="005A4803" w:rsidRPr="00A074ED" w:rsidRDefault="005B000C" w:rsidP="00891514">
            <w:pPr>
              <w:rPr>
                <w:rStyle w:val="Hyperlink"/>
                <w:lang w:val="fr-FR"/>
              </w:rPr>
            </w:pPr>
            <w:hyperlink r:id="rId42">
              <w:r w:rsidR="005A4803" w:rsidRPr="00A074ED">
                <w:rPr>
                  <w:rStyle w:val="Hyperlink"/>
                  <w:lang w:val="fr-FR"/>
                </w:rPr>
                <w:t>Vidéos</w:t>
              </w:r>
            </w:hyperlink>
          </w:p>
        </w:tc>
        <w:tc>
          <w:tcPr>
            <w:tcW w:w="5103" w:type="dxa"/>
          </w:tcPr>
          <w:p w14:paraId="2D260363" w14:textId="76F0940C" w:rsidR="005A4803" w:rsidRPr="00A074ED" w:rsidRDefault="005A4803" w:rsidP="00891514">
            <w:pPr>
              <w:rPr>
                <w:color w:val="12354E" w:themeColor="accent1" w:themeShade="BF"/>
                <w:lang w:val="fr-FR"/>
              </w:rPr>
            </w:pPr>
            <w:r w:rsidRPr="00A074ED">
              <w:rPr>
                <w:color w:val="12354E" w:themeColor="accent1" w:themeShade="BF"/>
                <w:lang w:val="fr-FR"/>
              </w:rPr>
              <w:t>Série de courtes vidéos résumant le contenu du présent Guide de suivi (3 à 5 minutes chacune)</w:t>
            </w:r>
          </w:p>
        </w:tc>
        <w:tc>
          <w:tcPr>
            <w:tcW w:w="1275" w:type="dxa"/>
          </w:tcPr>
          <w:p w14:paraId="265CBF63" w14:textId="0D9F59E3" w:rsidR="005A4803" w:rsidRPr="00A074ED" w:rsidRDefault="005A4803" w:rsidP="00891514">
            <w:pPr>
              <w:rPr>
                <w:color w:val="12354E" w:themeColor="accent1" w:themeShade="BF"/>
                <w:lang w:val="fr-FR"/>
              </w:rPr>
            </w:pPr>
            <w:r w:rsidRPr="00A074ED">
              <w:rPr>
                <w:color w:val="12354E" w:themeColor="accent1" w:themeShade="BF"/>
                <w:lang w:val="fr-FR"/>
              </w:rPr>
              <w:t>Toutes</w:t>
            </w:r>
          </w:p>
        </w:tc>
      </w:tr>
      <w:tr w:rsidR="005A4803" w:rsidRPr="00A074ED" w14:paraId="71B769FA" w14:textId="77777777" w:rsidTr="00891514">
        <w:trPr>
          <w:trHeight w:val="243"/>
        </w:trPr>
        <w:tc>
          <w:tcPr>
            <w:tcW w:w="2689" w:type="dxa"/>
          </w:tcPr>
          <w:p w14:paraId="27E9C771" w14:textId="7C2A6DFD" w:rsidR="005A4803" w:rsidRPr="00A074ED" w:rsidRDefault="005B000C" w:rsidP="00891514">
            <w:pPr>
              <w:rPr>
                <w:rStyle w:val="Hyperlink"/>
                <w:lang w:val="fr-FR"/>
              </w:rPr>
            </w:pPr>
            <w:hyperlink r:id="rId43" w:history="1">
              <w:r w:rsidR="005A4803" w:rsidRPr="00A074ED">
                <w:rPr>
                  <w:rStyle w:val="Hyperlink"/>
                  <w:lang w:val="fr-FR"/>
                </w:rPr>
                <w:t>Présentation succincte</w:t>
              </w:r>
            </w:hyperlink>
          </w:p>
        </w:tc>
        <w:tc>
          <w:tcPr>
            <w:tcW w:w="5103" w:type="dxa"/>
          </w:tcPr>
          <w:p w14:paraId="4E95098D" w14:textId="5C219354" w:rsidR="005A4803" w:rsidRPr="00A074ED" w:rsidRDefault="005A4803" w:rsidP="00891514">
            <w:pPr>
              <w:rPr>
                <w:color w:val="12354E" w:themeColor="accent1" w:themeShade="BF"/>
                <w:lang w:val="fr-FR"/>
              </w:rPr>
            </w:pPr>
            <w:r w:rsidRPr="00A074ED">
              <w:rPr>
                <w:color w:val="12354E" w:themeColor="accent1" w:themeShade="BF"/>
                <w:lang w:val="fr-FR"/>
              </w:rPr>
              <w:t xml:space="preserve">Présentation combinée des vidéos ci-dessus. </w:t>
            </w:r>
          </w:p>
        </w:tc>
        <w:tc>
          <w:tcPr>
            <w:tcW w:w="1275" w:type="dxa"/>
          </w:tcPr>
          <w:p w14:paraId="469C3559" w14:textId="07D5A47C" w:rsidR="005A4803" w:rsidRPr="00A074ED" w:rsidRDefault="005A4803" w:rsidP="00891514">
            <w:pPr>
              <w:rPr>
                <w:color w:val="12354E" w:themeColor="accent1" w:themeShade="BF"/>
                <w:lang w:val="fr-FR"/>
              </w:rPr>
            </w:pPr>
            <w:r w:rsidRPr="00A074ED">
              <w:rPr>
                <w:color w:val="12354E" w:themeColor="accent1" w:themeShade="BF"/>
                <w:lang w:val="fr-FR"/>
              </w:rPr>
              <w:t>Toutes</w:t>
            </w:r>
          </w:p>
        </w:tc>
      </w:tr>
      <w:tr w:rsidR="003E6826" w:rsidRPr="00A074ED" w14:paraId="7ED62F10" w14:textId="77777777" w:rsidTr="00891514">
        <w:trPr>
          <w:trHeight w:val="290"/>
        </w:trPr>
        <w:tc>
          <w:tcPr>
            <w:tcW w:w="9067" w:type="dxa"/>
            <w:gridSpan w:val="3"/>
            <w:shd w:val="clear" w:color="auto" w:fill="DBEFF1" w:themeFill="accent4" w:themeFillTint="33"/>
          </w:tcPr>
          <w:p w14:paraId="24698313" w14:textId="25B52374" w:rsidR="00970943" w:rsidRPr="00A074ED" w:rsidRDefault="005A4803" w:rsidP="00891514">
            <w:pPr>
              <w:rPr>
                <w:b/>
                <w:bCs/>
                <w:color w:val="12354E" w:themeColor="accent1" w:themeShade="BF"/>
                <w:lang w:val="fr-FR"/>
              </w:rPr>
            </w:pPr>
            <w:r w:rsidRPr="00A074ED">
              <w:rPr>
                <w:b/>
                <w:bCs/>
                <w:color w:val="12354E" w:themeColor="accent1" w:themeShade="BF"/>
                <w:lang w:val="fr-FR"/>
              </w:rPr>
              <w:t>Aide pour remplir le questionnaire d’enquête</w:t>
            </w:r>
          </w:p>
        </w:tc>
      </w:tr>
      <w:tr w:rsidR="005A4803" w:rsidRPr="00A074ED" w14:paraId="7096291A" w14:textId="77777777" w:rsidTr="00891514">
        <w:trPr>
          <w:trHeight w:val="290"/>
        </w:trPr>
        <w:tc>
          <w:tcPr>
            <w:tcW w:w="2689" w:type="dxa"/>
          </w:tcPr>
          <w:p w14:paraId="79D87DBB" w14:textId="41B89C8B" w:rsidR="005A4803" w:rsidRPr="00A074ED" w:rsidRDefault="005B000C" w:rsidP="00891514">
            <w:pPr>
              <w:rPr>
                <w:rStyle w:val="Hyperlink"/>
                <w:lang w:val="fr-FR"/>
              </w:rPr>
            </w:pPr>
            <w:hyperlink r:id="rId44" w:history="1">
              <w:r w:rsidR="005A4803" w:rsidRPr="00A074ED">
                <w:rPr>
                  <w:rStyle w:val="Hyperlink"/>
                  <w:lang w:val="fr-FR"/>
                </w:rPr>
                <w:t>Aperçu de l’enquête</w:t>
              </w:r>
            </w:hyperlink>
          </w:p>
        </w:tc>
        <w:tc>
          <w:tcPr>
            <w:tcW w:w="5103" w:type="dxa"/>
          </w:tcPr>
          <w:p w14:paraId="015C7822" w14:textId="61AD463C" w:rsidR="005A4803" w:rsidRPr="00A074ED" w:rsidRDefault="005A4803" w:rsidP="00891514">
            <w:pPr>
              <w:rPr>
                <w:color w:val="12354E" w:themeColor="accent1" w:themeShade="BF"/>
                <w:lang w:val="fr-FR"/>
              </w:rPr>
            </w:pPr>
            <w:r w:rsidRPr="00A074ED">
              <w:rPr>
                <w:color w:val="12354E" w:themeColor="accent1" w:themeShade="BF"/>
                <w:lang w:val="fr-FR"/>
              </w:rPr>
              <w:t>Une page</w:t>
            </w:r>
          </w:p>
        </w:tc>
        <w:tc>
          <w:tcPr>
            <w:tcW w:w="1275" w:type="dxa"/>
          </w:tcPr>
          <w:p w14:paraId="537953F1" w14:textId="0A954EEA" w:rsidR="005A4803" w:rsidRPr="00A074ED" w:rsidRDefault="005A4803" w:rsidP="00891514">
            <w:pPr>
              <w:rPr>
                <w:color w:val="12354E" w:themeColor="accent1" w:themeShade="BF"/>
                <w:lang w:val="fr-FR"/>
              </w:rPr>
            </w:pPr>
            <w:r w:rsidRPr="00A074ED">
              <w:rPr>
                <w:color w:val="12354E" w:themeColor="accent1" w:themeShade="BF"/>
                <w:lang w:val="fr-FR"/>
              </w:rPr>
              <w:t>Toutes</w:t>
            </w:r>
          </w:p>
        </w:tc>
      </w:tr>
      <w:tr w:rsidR="005A4803" w:rsidRPr="00A074ED" w14:paraId="589E6AE9" w14:textId="77777777" w:rsidTr="00891514">
        <w:trPr>
          <w:trHeight w:val="290"/>
        </w:trPr>
        <w:tc>
          <w:tcPr>
            <w:tcW w:w="2689" w:type="dxa"/>
          </w:tcPr>
          <w:p w14:paraId="4BB3CCF8" w14:textId="5DE642EB" w:rsidR="005A4803" w:rsidRPr="00A074ED" w:rsidRDefault="005B000C" w:rsidP="00891514">
            <w:pPr>
              <w:rPr>
                <w:rStyle w:val="Hyperlink"/>
                <w:lang w:val="fr-FR"/>
              </w:rPr>
            </w:pPr>
            <w:hyperlink r:id="rId45" w:history="1">
              <w:r w:rsidR="005A4803" w:rsidRPr="00A074ED">
                <w:rPr>
                  <w:rStyle w:val="Hyperlink"/>
                  <w:lang w:val="fr-FR"/>
                </w:rPr>
                <w:t>Modèle de calcul</w:t>
              </w:r>
            </w:hyperlink>
          </w:p>
        </w:tc>
        <w:tc>
          <w:tcPr>
            <w:tcW w:w="5103" w:type="dxa"/>
          </w:tcPr>
          <w:p w14:paraId="4BCB301E" w14:textId="3D62C60D" w:rsidR="005A4803" w:rsidRPr="00A074ED" w:rsidRDefault="005A4803" w:rsidP="00891514">
            <w:pPr>
              <w:rPr>
                <w:color w:val="12354E" w:themeColor="accent1" w:themeShade="BF"/>
                <w:lang w:val="fr-FR"/>
              </w:rPr>
            </w:pPr>
            <w:r w:rsidRPr="00A074ED">
              <w:rPr>
                <w:color w:val="12354E" w:themeColor="accent1" w:themeShade="BF"/>
                <w:lang w:val="fr-FR"/>
              </w:rPr>
              <w:t>Facultatif. Destiné à permettre un calcul correct des notes relatives aux dimensions et à l’indicateur.</w:t>
            </w:r>
          </w:p>
        </w:tc>
        <w:tc>
          <w:tcPr>
            <w:tcW w:w="1275" w:type="dxa"/>
          </w:tcPr>
          <w:p w14:paraId="4D01C990" w14:textId="786F5009" w:rsidR="005A4803" w:rsidRPr="00A074ED" w:rsidRDefault="005A4803" w:rsidP="00891514">
            <w:pPr>
              <w:rPr>
                <w:color w:val="12354E" w:themeColor="accent1" w:themeShade="BF"/>
                <w:lang w:val="fr-FR"/>
              </w:rPr>
            </w:pPr>
            <w:r w:rsidRPr="00A074ED">
              <w:rPr>
                <w:color w:val="12354E" w:themeColor="accent1" w:themeShade="BF"/>
                <w:lang w:val="fr-FR"/>
              </w:rPr>
              <w:t>EN</w:t>
            </w:r>
          </w:p>
        </w:tc>
      </w:tr>
      <w:tr w:rsidR="005A4803" w:rsidRPr="00A074ED" w14:paraId="014877F4" w14:textId="77777777" w:rsidTr="00891514">
        <w:trPr>
          <w:trHeight w:val="290"/>
        </w:trPr>
        <w:tc>
          <w:tcPr>
            <w:tcW w:w="2689" w:type="dxa"/>
          </w:tcPr>
          <w:p w14:paraId="50783F11" w14:textId="369BFDEA" w:rsidR="005A4803" w:rsidRPr="00A074ED" w:rsidRDefault="005B000C" w:rsidP="00891514">
            <w:pPr>
              <w:rPr>
                <w:rStyle w:val="Hyperlink"/>
                <w:lang w:val="fr-FR"/>
              </w:rPr>
            </w:pPr>
            <w:hyperlink r:id="rId46" w:history="1">
              <w:r w:rsidR="005A4803" w:rsidRPr="00A074ED">
                <w:rPr>
                  <w:rStyle w:val="Hyperlink"/>
                  <w:lang w:val="fr-FR"/>
                </w:rPr>
                <w:t>Liste de vérification sur l’égalité des genres</w:t>
              </w:r>
            </w:hyperlink>
          </w:p>
        </w:tc>
        <w:tc>
          <w:tcPr>
            <w:tcW w:w="5103" w:type="dxa"/>
          </w:tcPr>
          <w:p w14:paraId="30184186" w14:textId="53A839C2" w:rsidR="005A4803" w:rsidRPr="00A074ED" w:rsidRDefault="005A4803" w:rsidP="00891514">
            <w:pPr>
              <w:rPr>
                <w:color w:val="12354E" w:themeColor="accent1" w:themeShade="BF"/>
                <w:lang w:val="fr-FR"/>
              </w:rPr>
            </w:pPr>
            <w:r w:rsidRPr="00A074ED">
              <w:rPr>
                <w:color w:val="12354E" w:themeColor="accent1" w:themeShade="BF"/>
                <w:lang w:val="fr-FR"/>
              </w:rPr>
              <w:t>Liste de vérification destinée à étayer les discussions sur l’intégration des questions de genre dans la gestion des ressources en eau (pour aider à répondre à la question 2.2d de l’enquête)</w:t>
            </w:r>
          </w:p>
        </w:tc>
        <w:tc>
          <w:tcPr>
            <w:tcW w:w="1275" w:type="dxa"/>
          </w:tcPr>
          <w:p w14:paraId="2D967D0F" w14:textId="1D3FF2AD" w:rsidR="005A4803" w:rsidRPr="00A074ED" w:rsidRDefault="005A4803" w:rsidP="00891514">
            <w:pPr>
              <w:rPr>
                <w:color w:val="12354E" w:themeColor="accent1" w:themeShade="BF"/>
                <w:lang w:val="fr-FR"/>
              </w:rPr>
            </w:pPr>
            <w:r w:rsidRPr="00A074ED">
              <w:rPr>
                <w:color w:val="12354E" w:themeColor="accent1" w:themeShade="BF"/>
                <w:lang w:val="fr-FR"/>
              </w:rPr>
              <w:t>Toutes</w:t>
            </w:r>
          </w:p>
        </w:tc>
      </w:tr>
      <w:tr w:rsidR="003E6826" w:rsidRPr="00A074ED" w14:paraId="15346611" w14:textId="77777777" w:rsidTr="00891514">
        <w:trPr>
          <w:trHeight w:val="290"/>
        </w:trPr>
        <w:tc>
          <w:tcPr>
            <w:tcW w:w="9067" w:type="dxa"/>
            <w:gridSpan w:val="3"/>
            <w:shd w:val="clear" w:color="auto" w:fill="DBEFF1" w:themeFill="accent4" w:themeFillTint="33"/>
          </w:tcPr>
          <w:p w14:paraId="542E7467" w14:textId="6843CE52" w:rsidR="00970943" w:rsidRPr="00A074ED" w:rsidRDefault="005A4803" w:rsidP="00891514">
            <w:pPr>
              <w:rPr>
                <w:b/>
                <w:bCs/>
                <w:color w:val="12354E" w:themeColor="accent1" w:themeShade="BF"/>
                <w:lang w:val="fr-FR"/>
              </w:rPr>
            </w:pPr>
            <w:r w:rsidRPr="00A074ED">
              <w:rPr>
                <w:b/>
                <w:bCs/>
                <w:color w:val="12354E" w:themeColor="accent1" w:themeShade="BF"/>
                <w:lang w:val="fr-FR"/>
              </w:rPr>
              <w:t>Consultation des parties prenantes et communication</w:t>
            </w:r>
          </w:p>
        </w:tc>
      </w:tr>
      <w:tr w:rsidR="005A4803" w:rsidRPr="00A074ED" w14:paraId="7DA23B2D" w14:textId="77777777" w:rsidTr="00891514">
        <w:trPr>
          <w:trHeight w:val="290"/>
        </w:trPr>
        <w:tc>
          <w:tcPr>
            <w:tcW w:w="2689" w:type="dxa"/>
          </w:tcPr>
          <w:p w14:paraId="163C6688" w14:textId="060C3EB6" w:rsidR="005A4803" w:rsidRPr="00A074ED" w:rsidRDefault="005B000C" w:rsidP="00891514">
            <w:pPr>
              <w:pStyle w:val="Body"/>
              <w:spacing w:after="0"/>
              <w:jc w:val="both"/>
            </w:pPr>
            <w:hyperlink r:id="rId47">
              <w:r w:rsidR="005A4803" w:rsidRPr="00A074ED">
                <w:rPr>
                  <w:rStyle w:val="Hyperlink"/>
                  <w:lang w:bidi="fr-FR"/>
                </w:rPr>
                <w:t>Résumés par pays</w:t>
              </w:r>
            </w:hyperlink>
          </w:p>
        </w:tc>
        <w:tc>
          <w:tcPr>
            <w:tcW w:w="5103" w:type="dxa"/>
          </w:tcPr>
          <w:p w14:paraId="26362668" w14:textId="751583F6" w:rsidR="005A4803" w:rsidRPr="00A074ED" w:rsidRDefault="005A4803" w:rsidP="00891514">
            <w:pPr>
              <w:rPr>
                <w:color w:val="12354E" w:themeColor="accent1" w:themeShade="BF"/>
                <w:lang w:val="fr-FR"/>
              </w:rPr>
            </w:pPr>
            <w:r w:rsidRPr="00A074ED">
              <w:rPr>
                <w:color w:val="12354E" w:themeColor="accent1" w:themeShade="BF"/>
                <w:lang w:val="fr-FR"/>
              </w:rPr>
              <w:t>Résumés visuels de deux pages présentant les résultats 2017 et 2020 par pays.</w:t>
            </w:r>
          </w:p>
        </w:tc>
        <w:tc>
          <w:tcPr>
            <w:tcW w:w="1275" w:type="dxa"/>
          </w:tcPr>
          <w:p w14:paraId="066C23B3" w14:textId="70526F3A" w:rsidR="005A4803" w:rsidRPr="00A074ED" w:rsidRDefault="005A4803" w:rsidP="00891514">
            <w:pPr>
              <w:rPr>
                <w:color w:val="12354E" w:themeColor="accent1" w:themeShade="BF"/>
                <w:lang w:val="fr-FR"/>
              </w:rPr>
            </w:pPr>
            <w:r w:rsidRPr="00A074ED">
              <w:rPr>
                <w:color w:val="12354E" w:themeColor="accent1" w:themeShade="BF"/>
                <w:lang w:val="fr-FR"/>
              </w:rPr>
              <w:t>Toutes</w:t>
            </w:r>
          </w:p>
        </w:tc>
      </w:tr>
      <w:tr w:rsidR="005A4803" w:rsidRPr="00A074ED" w14:paraId="21F3C178" w14:textId="77777777" w:rsidTr="00891514">
        <w:trPr>
          <w:trHeight w:val="290"/>
        </w:trPr>
        <w:tc>
          <w:tcPr>
            <w:tcW w:w="2689" w:type="dxa"/>
            <w:vMerge w:val="restart"/>
            <w:vAlign w:val="center"/>
          </w:tcPr>
          <w:p w14:paraId="6B449006" w14:textId="361AC759" w:rsidR="005A4803" w:rsidRPr="00A074ED" w:rsidRDefault="005B000C" w:rsidP="00891514">
            <w:pPr>
              <w:rPr>
                <w:color w:val="12354E" w:themeColor="accent1" w:themeShade="BF"/>
                <w:lang w:val="fr-FR"/>
              </w:rPr>
            </w:pPr>
            <w:hyperlink r:id="rId48" w:history="1">
              <w:r w:rsidR="005A4803" w:rsidRPr="00A074ED">
                <w:rPr>
                  <w:rStyle w:val="Hyperlink"/>
                  <w:lang w:val="fr-FR"/>
                </w:rPr>
                <w:t>Manuel de consultation des parties prenantes</w:t>
              </w:r>
            </w:hyperlink>
          </w:p>
          <w:p w14:paraId="53C5338B" w14:textId="7FF4BEB1" w:rsidR="005A4803" w:rsidRPr="00A074ED" w:rsidRDefault="005A4803" w:rsidP="00891514">
            <w:pPr>
              <w:rPr>
                <w:color w:val="12354E" w:themeColor="accent1" w:themeShade="BF"/>
                <w:lang w:val="fr-FR"/>
              </w:rPr>
            </w:pPr>
          </w:p>
        </w:tc>
        <w:tc>
          <w:tcPr>
            <w:tcW w:w="5103" w:type="dxa"/>
          </w:tcPr>
          <w:p w14:paraId="4F57419F" w14:textId="5588E637" w:rsidR="005A4803" w:rsidRPr="00A074ED" w:rsidRDefault="005A4803" w:rsidP="00891514">
            <w:pPr>
              <w:rPr>
                <w:color w:val="12354E" w:themeColor="accent1" w:themeShade="BF"/>
                <w:lang w:val="fr-FR"/>
              </w:rPr>
            </w:pPr>
            <w:r w:rsidRPr="00A074ED">
              <w:rPr>
                <w:color w:val="12354E" w:themeColor="accent1" w:themeShade="BF"/>
                <w:lang w:val="fr-FR"/>
              </w:rPr>
              <w:t>Informations et orientations complémentaires sur les processus recommandés en matière de consultation des parties prenantes afin de communiquer des données sur l’indicateur 6.5.1.</w:t>
            </w:r>
          </w:p>
        </w:tc>
        <w:tc>
          <w:tcPr>
            <w:tcW w:w="1275" w:type="dxa"/>
          </w:tcPr>
          <w:p w14:paraId="617D60B4" w14:textId="1490DF7A" w:rsidR="005A4803" w:rsidRPr="00A074ED" w:rsidRDefault="005A4803" w:rsidP="00891514">
            <w:pPr>
              <w:rPr>
                <w:color w:val="12354E" w:themeColor="accent1" w:themeShade="BF"/>
                <w:lang w:val="fr-FR"/>
              </w:rPr>
            </w:pPr>
            <w:r w:rsidRPr="00A074ED">
              <w:rPr>
                <w:color w:val="12354E" w:themeColor="accent1" w:themeShade="BF"/>
                <w:lang w:val="fr-FR"/>
              </w:rPr>
              <w:t>Toutes</w:t>
            </w:r>
          </w:p>
        </w:tc>
      </w:tr>
      <w:tr w:rsidR="005A4803" w:rsidRPr="00A074ED" w14:paraId="543A5A47" w14:textId="77777777" w:rsidTr="00891514">
        <w:trPr>
          <w:trHeight w:val="1053"/>
        </w:trPr>
        <w:tc>
          <w:tcPr>
            <w:tcW w:w="2689" w:type="dxa"/>
            <w:vMerge/>
          </w:tcPr>
          <w:p w14:paraId="1F51D789" w14:textId="77777777" w:rsidR="005A4803" w:rsidRPr="00A074ED" w:rsidRDefault="005A4803" w:rsidP="00891514">
            <w:pPr>
              <w:ind w:left="506"/>
              <w:rPr>
                <w:color w:val="12354E" w:themeColor="accent1" w:themeShade="BF"/>
                <w:lang w:val="fr-FR"/>
              </w:rPr>
            </w:pPr>
          </w:p>
        </w:tc>
        <w:tc>
          <w:tcPr>
            <w:tcW w:w="6378" w:type="dxa"/>
            <w:gridSpan w:val="2"/>
          </w:tcPr>
          <w:p w14:paraId="21C66C6D" w14:textId="6AD55810" w:rsidR="005A4803" w:rsidRPr="00A074ED" w:rsidRDefault="005A4803" w:rsidP="00891514">
            <w:pPr>
              <w:rPr>
                <w:color w:val="12354E" w:themeColor="accent1" w:themeShade="BF"/>
                <w:lang w:val="fr-FR"/>
              </w:rPr>
            </w:pPr>
            <w:r w:rsidRPr="00A074ED">
              <w:rPr>
                <w:color w:val="12354E" w:themeColor="accent1" w:themeShade="BF"/>
                <w:lang w:val="fr-FR" w:bidi="fr-FR"/>
              </w:rPr>
              <w:t>Annexe 1 – </w:t>
            </w:r>
            <w:hyperlink r:id="rId49" w:history="1">
              <w:r w:rsidRPr="00A074ED">
                <w:rPr>
                  <w:rStyle w:val="Hyperlink"/>
                  <w:lang w:val="fr-FR"/>
                </w:rPr>
                <w:t>Outil d’enquête en ligne sur la GIRE</w:t>
              </w:r>
            </w:hyperlink>
            <w:r w:rsidRPr="00A074ED">
              <w:rPr>
                <w:color w:val="12354E" w:themeColor="accent1" w:themeShade="BF"/>
                <w:u w:val="single"/>
                <w:lang w:val="fr-FR" w:bidi="fr-FR"/>
              </w:rPr>
              <w:br/>
            </w:r>
            <w:r w:rsidRPr="00A074ED">
              <w:rPr>
                <w:color w:val="12354E" w:themeColor="accent1" w:themeShade="BF"/>
                <w:lang w:val="fr-FR" w:bidi="fr-FR"/>
              </w:rPr>
              <w:t>Annexe 2 – </w:t>
            </w:r>
            <w:hyperlink r:id="rId50" w:history="1">
              <w:r w:rsidRPr="00A074ED">
                <w:rPr>
                  <w:rStyle w:val="Hyperlink"/>
                  <w:lang w:val="fr-FR"/>
                </w:rPr>
                <w:t>Exemple de programme d’atelier</w:t>
              </w:r>
            </w:hyperlink>
            <w:r w:rsidRPr="00A074ED">
              <w:rPr>
                <w:color w:val="12354E" w:themeColor="accent1" w:themeShade="BF"/>
                <w:lang w:val="fr-FR" w:bidi="fr-FR"/>
              </w:rPr>
              <w:t xml:space="preserve"> </w:t>
            </w:r>
            <w:r w:rsidRPr="00A074ED">
              <w:rPr>
                <w:color w:val="12354E" w:themeColor="accent1" w:themeShade="BF"/>
                <w:lang w:val="fr-FR" w:bidi="fr-FR"/>
              </w:rPr>
              <w:br/>
              <w:t>Annexe 3 – </w:t>
            </w:r>
            <w:hyperlink r:id="rId51" w:history="1">
              <w:r w:rsidRPr="00A074ED">
                <w:rPr>
                  <w:rStyle w:val="Hyperlink"/>
                  <w:lang w:val="fr-FR"/>
                </w:rPr>
                <w:t>Modèle de rapport de consultation facultatif</w:t>
              </w:r>
            </w:hyperlink>
            <w:r w:rsidRPr="00A074ED">
              <w:rPr>
                <w:color w:val="12354E" w:themeColor="accent1" w:themeShade="BF"/>
                <w:u w:val="single"/>
                <w:lang w:val="fr-FR" w:bidi="fr-FR"/>
              </w:rPr>
              <w:br/>
            </w:r>
            <w:r w:rsidRPr="00A074ED">
              <w:rPr>
                <w:color w:val="12354E" w:themeColor="accent1" w:themeShade="BF"/>
                <w:lang w:val="fr-FR" w:bidi="fr-FR"/>
              </w:rPr>
              <w:t>Annexe 4 – </w:t>
            </w:r>
            <w:hyperlink r:id="rId52" w:history="1">
              <w:r w:rsidRPr="00A074ED">
                <w:rPr>
                  <w:rStyle w:val="Hyperlink"/>
                  <w:lang w:val="fr-FR"/>
                </w:rPr>
                <w:t>Exemple de mandat d’animateur</w:t>
              </w:r>
            </w:hyperlink>
          </w:p>
        </w:tc>
      </w:tr>
      <w:tr w:rsidR="00F377B3" w:rsidRPr="00A074ED" w14:paraId="1D5F6DA3" w14:textId="77777777" w:rsidTr="00891514">
        <w:trPr>
          <w:trHeight w:val="290"/>
        </w:trPr>
        <w:tc>
          <w:tcPr>
            <w:tcW w:w="2689" w:type="dxa"/>
          </w:tcPr>
          <w:p w14:paraId="5DA636F9" w14:textId="4AC84529" w:rsidR="00F377B3" w:rsidRPr="00A074ED" w:rsidRDefault="005B000C" w:rsidP="00891514">
            <w:pPr>
              <w:rPr>
                <w:color w:val="12354E" w:themeColor="accent1" w:themeShade="BF"/>
                <w:lang w:val="fr-FR"/>
              </w:rPr>
            </w:pPr>
            <w:hyperlink r:id="rId53" w:history="1">
              <w:r w:rsidR="00F377B3" w:rsidRPr="00A074ED">
                <w:rPr>
                  <w:rStyle w:val="Hyperlink"/>
                  <w:lang w:val="fr-FR"/>
                </w:rPr>
                <w:t>Formation des animateurs sur l’indicateur 6.5.1</w:t>
              </w:r>
            </w:hyperlink>
          </w:p>
        </w:tc>
        <w:tc>
          <w:tcPr>
            <w:tcW w:w="5103" w:type="dxa"/>
          </w:tcPr>
          <w:p w14:paraId="4C97DED9" w14:textId="725617B4" w:rsidR="00F377B3" w:rsidRPr="00A074ED" w:rsidRDefault="00F377B3" w:rsidP="00891514">
            <w:pPr>
              <w:rPr>
                <w:color w:val="12354E" w:themeColor="accent1" w:themeShade="BF"/>
                <w:lang w:val="fr-FR"/>
              </w:rPr>
            </w:pPr>
            <w:r w:rsidRPr="00A074ED">
              <w:rPr>
                <w:color w:val="12354E" w:themeColor="accent1" w:themeShade="BF"/>
                <w:lang w:val="fr-FR"/>
              </w:rPr>
              <w:t>Formation en ligne gratuite, à suivre à son propre rythme (durée : 4 à 6 heures)</w:t>
            </w:r>
          </w:p>
        </w:tc>
        <w:tc>
          <w:tcPr>
            <w:tcW w:w="1275" w:type="dxa"/>
          </w:tcPr>
          <w:p w14:paraId="794D165A" w14:textId="633273FC" w:rsidR="00F377B3" w:rsidRPr="00A074ED" w:rsidRDefault="00F377B3" w:rsidP="00891514">
            <w:pPr>
              <w:rPr>
                <w:color w:val="12354E" w:themeColor="accent1" w:themeShade="BF"/>
                <w:lang w:val="fr-FR"/>
              </w:rPr>
            </w:pPr>
            <w:r w:rsidRPr="00A074ED">
              <w:rPr>
                <w:color w:val="12354E" w:themeColor="accent1" w:themeShade="BF"/>
                <w:lang w:val="fr-FR"/>
              </w:rPr>
              <w:t>EN, ES, FR</w:t>
            </w:r>
          </w:p>
        </w:tc>
      </w:tr>
      <w:tr w:rsidR="00F377B3" w:rsidRPr="00A074ED" w14:paraId="56E3A64E" w14:textId="77777777" w:rsidTr="00891514">
        <w:trPr>
          <w:trHeight w:val="596"/>
        </w:trPr>
        <w:tc>
          <w:tcPr>
            <w:tcW w:w="2689" w:type="dxa"/>
          </w:tcPr>
          <w:p w14:paraId="70FDD244" w14:textId="00FC60E5" w:rsidR="00F377B3" w:rsidRPr="00A074ED" w:rsidRDefault="00F377B3" w:rsidP="00891514">
            <w:pPr>
              <w:rPr>
                <w:color w:val="12354E" w:themeColor="accent1" w:themeShade="BF"/>
                <w:lang w:val="fr-FR"/>
              </w:rPr>
            </w:pPr>
            <w:r w:rsidRPr="00A074ED">
              <w:rPr>
                <w:color w:val="12354E" w:themeColor="accent1" w:themeShade="BF"/>
                <w:lang w:val="fr-FR"/>
              </w:rPr>
              <w:t>Dispositif de soutien</w:t>
            </w:r>
          </w:p>
        </w:tc>
        <w:tc>
          <w:tcPr>
            <w:tcW w:w="5103" w:type="dxa"/>
          </w:tcPr>
          <w:p w14:paraId="5478628E" w14:textId="4331F774" w:rsidR="00F377B3" w:rsidRPr="00A074ED" w:rsidRDefault="00F377B3" w:rsidP="00891514">
            <w:pPr>
              <w:rPr>
                <w:color w:val="12354E" w:themeColor="accent1" w:themeShade="BF"/>
                <w:lang w:val="fr-FR"/>
              </w:rPr>
            </w:pPr>
            <w:r w:rsidRPr="00A074ED">
              <w:rPr>
                <w:color w:val="12354E" w:themeColor="accent1" w:themeShade="BF"/>
                <w:lang w:val="fr-FR"/>
              </w:rPr>
              <w:t xml:space="preserve">Sur demande, pour les pays recevant une aide technique/financière dans le cadre du </w:t>
            </w:r>
            <w:hyperlink r:id="rId54" w:history="1">
              <w:r w:rsidRPr="00A074ED">
                <w:rPr>
                  <w:rStyle w:val="Hyperlink"/>
                  <w:lang w:val="fr-FR"/>
                </w:rPr>
                <w:t>Programme de soutien à l’ODD 6 GIRE</w:t>
              </w:r>
            </w:hyperlink>
            <w:r w:rsidRPr="00A074ED">
              <w:rPr>
                <w:color w:val="12354E" w:themeColor="accent1" w:themeShade="BF"/>
                <w:lang w:val="fr-FR"/>
              </w:rPr>
              <w:t xml:space="preserve">**. </w:t>
            </w:r>
          </w:p>
        </w:tc>
        <w:tc>
          <w:tcPr>
            <w:tcW w:w="1275" w:type="dxa"/>
          </w:tcPr>
          <w:p w14:paraId="2969B223" w14:textId="43B77D8D" w:rsidR="00F377B3" w:rsidRPr="00A074ED" w:rsidRDefault="00F377B3" w:rsidP="00891514">
            <w:pPr>
              <w:rPr>
                <w:color w:val="12354E" w:themeColor="accent1" w:themeShade="BF"/>
                <w:lang w:val="fr-FR"/>
              </w:rPr>
            </w:pPr>
            <w:r w:rsidRPr="00A074ED">
              <w:rPr>
                <w:color w:val="12354E" w:themeColor="accent1" w:themeShade="BF"/>
                <w:lang w:val="fr-FR"/>
              </w:rPr>
              <w:t>EN, ES, FR</w:t>
            </w:r>
          </w:p>
        </w:tc>
      </w:tr>
    </w:tbl>
    <w:p w14:paraId="6F86724A" w14:textId="77777777" w:rsidR="00726B3C" w:rsidRPr="00A074ED" w:rsidRDefault="00726B3C" w:rsidP="00B02DE3">
      <w:pPr>
        <w:pStyle w:val="Body"/>
        <w:tabs>
          <w:tab w:val="left" w:pos="6663"/>
        </w:tabs>
        <w:jc w:val="both"/>
        <w:rPr>
          <w:sz w:val="20"/>
          <w:szCs w:val="20"/>
          <w:lang w:bidi="fr-FR"/>
        </w:rPr>
      </w:pPr>
      <w:r w:rsidRPr="00A074ED">
        <w:rPr>
          <w:sz w:val="20"/>
          <w:szCs w:val="20"/>
          <w:lang w:bidi="fr-FR"/>
        </w:rPr>
        <w:t>* Sauf indication contraire, tous les supports sont disponibles en anglais, en arabe, en chinois, en espagnol, en français, en portugais et en russe.</w:t>
      </w:r>
    </w:p>
    <w:p w14:paraId="5EF16181" w14:textId="08FB5C36" w:rsidR="00F039DF" w:rsidRPr="00A074ED" w:rsidRDefault="00726B3C" w:rsidP="00342B25">
      <w:pPr>
        <w:pStyle w:val="Body"/>
        <w:tabs>
          <w:tab w:val="left" w:pos="6663"/>
        </w:tabs>
        <w:jc w:val="both"/>
        <w:rPr>
          <w:b/>
          <w:bCs/>
          <w:color w:val="20A6CA" w:themeColor="accent2"/>
          <w:sz w:val="36"/>
          <w:szCs w:val="36"/>
          <w:lang w:bidi="fr-FR"/>
        </w:rPr>
      </w:pPr>
      <w:r w:rsidRPr="00A074ED">
        <w:rPr>
          <w:sz w:val="20"/>
          <w:szCs w:val="20"/>
          <w:lang w:bidi="fr-FR"/>
        </w:rPr>
        <w:t xml:space="preserve">** Le dispositif de soutien reprend nombre des ressources figurant dans ce tableau. Il apporte également des orientations supplémentaires concernant le recrutement d’un animateur, et précise les autres critères à remplir pour recevoir une aide financière. </w:t>
      </w:r>
      <w:bookmarkStart w:id="2" w:name="_Annexe_2_:"/>
      <w:bookmarkEnd w:id="2"/>
      <w:r w:rsidR="00F039DF" w:rsidRPr="00A074ED">
        <w:rPr>
          <w:lang w:bidi="fr-FR"/>
        </w:rPr>
        <w:br w:type="page"/>
      </w:r>
    </w:p>
    <w:p w14:paraId="519FBA3D" w14:textId="7843DFE6" w:rsidR="00726B3C" w:rsidRPr="00A074ED" w:rsidRDefault="00726B3C" w:rsidP="00726B3C">
      <w:pPr>
        <w:pStyle w:val="Heading2"/>
        <w:rPr>
          <w:lang w:val="fr-FR"/>
        </w:rPr>
      </w:pPr>
      <w:r w:rsidRPr="00A074ED">
        <w:rPr>
          <w:lang w:val="fr-FR" w:bidi="fr-FR"/>
        </w:rPr>
        <w:lastRenderedPageBreak/>
        <w:t>Annexe 2 : Différences entre les versions de l’enquête</w:t>
      </w:r>
    </w:p>
    <w:tbl>
      <w:tblPr>
        <w:tblW w:w="9037" w:type="dxa"/>
        <w:tblInd w:w="-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262"/>
        <w:gridCol w:w="4386"/>
        <w:gridCol w:w="2389"/>
      </w:tblGrid>
      <w:tr w:rsidR="00970943" w:rsidRPr="00A074ED" w14:paraId="4BE55399" w14:textId="77777777" w:rsidTr="568FBF53">
        <w:trPr>
          <w:trHeight w:val="181"/>
        </w:trPr>
        <w:tc>
          <w:tcPr>
            <w:tcW w:w="2262" w:type="dxa"/>
            <w:shd w:val="clear" w:color="auto" w:fill="194869" w:themeFill="accent1"/>
            <w:hideMark/>
          </w:tcPr>
          <w:p w14:paraId="6752DADF" w14:textId="77777777" w:rsidR="00970943" w:rsidRPr="00A074ED" w:rsidRDefault="00970943" w:rsidP="568FBF53">
            <w:pPr>
              <w:spacing w:before="20" w:after="20"/>
              <w:textAlignment w:val="baseline"/>
              <w:rPr>
                <w:rFonts w:ascii="Segoe UI" w:eastAsia="Times New Roman" w:hAnsi="Segoe UI" w:cs="Segoe UI"/>
                <w:color w:val="20A6CA" w:themeColor="accent2"/>
                <w:lang w:val="fr-FR"/>
              </w:rPr>
            </w:pPr>
            <w:r w:rsidRPr="00A074ED">
              <w:rPr>
                <w:rFonts w:ascii="Calibri" w:eastAsia="Times New Roman" w:hAnsi="Calibri" w:cs="Calibri"/>
                <w:b/>
                <w:bCs/>
                <w:color w:val="FFFFFF" w:themeColor="background1"/>
                <w:lang w:val="fr-FR"/>
              </w:rPr>
              <w:t>2017</w:t>
            </w:r>
            <w:r w:rsidRPr="00A074ED">
              <w:rPr>
                <w:rFonts w:ascii="Calibri" w:eastAsia="Times New Roman" w:hAnsi="Calibri" w:cs="Calibri"/>
                <w:color w:val="FFFFFF" w:themeColor="background1"/>
                <w:lang w:val="fr-FR"/>
              </w:rPr>
              <w:t> </w:t>
            </w:r>
          </w:p>
        </w:tc>
        <w:tc>
          <w:tcPr>
            <w:tcW w:w="4386" w:type="dxa"/>
            <w:shd w:val="clear" w:color="auto" w:fill="194869" w:themeFill="accent1"/>
            <w:hideMark/>
          </w:tcPr>
          <w:p w14:paraId="70A37892" w14:textId="77777777" w:rsidR="00970943" w:rsidRPr="00A074ED" w:rsidRDefault="00970943" w:rsidP="568FBF53">
            <w:pPr>
              <w:spacing w:before="20" w:after="20"/>
              <w:textAlignment w:val="baseline"/>
              <w:rPr>
                <w:rFonts w:ascii="Segoe UI" w:eastAsia="Times New Roman" w:hAnsi="Segoe UI" w:cs="Segoe UI"/>
                <w:color w:val="20A6CA" w:themeColor="accent2"/>
                <w:lang w:val="fr-FR"/>
              </w:rPr>
            </w:pPr>
            <w:r w:rsidRPr="00A074ED">
              <w:rPr>
                <w:rFonts w:ascii="Calibri" w:eastAsia="Times New Roman" w:hAnsi="Calibri" w:cs="Calibri"/>
                <w:b/>
                <w:bCs/>
                <w:color w:val="FFFFFF" w:themeColor="background1"/>
                <w:lang w:val="fr-FR"/>
              </w:rPr>
              <w:t>2020</w:t>
            </w:r>
            <w:r w:rsidRPr="00A074ED">
              <w:rPr>
                <w:rFonts w:ascii="Calibri" w:eastAsia="Times New Roman" w:hAnsi="Calibri" w:cs="Calibri"/>
                <w:color w:val="FFFFFF" w:themeColor="background1"/>
                <w:lang w:val="fr-FR"/>
              </w:rPr>
              <w:t> </w:t>
            </w:r>
          </w:p>
        </w:tc>
        <w:tc>
          <w:tcPr>
            <w:tcW w:w="2389" w:type="dxa"/>
            <w:shd w:val="clear" w:color="auto" w:fill="194869" w:themeFill="accent1"/>
          </w:tcPr>
          <w:p w14:paraId="4A5577E4" w14:textId="77777777" w:rsidR="00970943" w:rsidRPr="00A074ED" w:rsidRDefault="00970943" w:rsidP="568FBF53">
            <w:pPr>
              <w:spacing w:before="20" w:after="20"/>
              <w:textAlignment w:val="baseline"/>
              <w:rPr>
                <w:rFonts w:ascii="Calibri" w:eastAsia="Times New Roman" w:hAnsi="Calibri" w:cs="Calibri"/>
                <w:b/>
                <w:bCs/>
                <w:color w:val="20A6CA" w:themeColor="accent2"/>
                <w:lang w:val="fr-FR"/>
              </w:rPr>
            </w:pPr>
            <w:r w:rsidRPr="00A074ED">
              <w:rPr>
                <w:rFonts w:ascii="Calibri" w:eastAsia="Times New Roman" w:hAnsi="Calibri" w:cs="Calibri"/>
                <w:b/>
                <w:bCs/>
                <w:color w:val="FFFFFF" w:themeColor="background1"/>
                <w:lang w:val="fr-FR"/>
              </w:rPr>
              <w:t>2023</w:t>
            </w:r>
          </w:p>
        </w:tc>
      </w:tr>
      <w:tr w:rsidR="00726B3C" w:rsidRPr="00A074ED" w14:paraId="091ADE76" w14:textId="77777777" w:rsidTr="568FBF53">
        <w:trPr>
          <w:trHeight w:val="286"/>
        </w:trPr>
        <w:tc>
          <w:tcPr>
            <w:tcW w:w="2262" w:type="dxa"/>
            <w:shd w:val="clear" w:color="auto" w:fill="auto"/>
            <w:hideMark/>
          </w:tcPr>
          <w:p w14:paraId="37C4F265" w14:textId="0348DBEA"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Questions 1.2d et 2.2f : lois et institutions infranationales respectivement, pour les États fédéraux uniquement.</w:t>
            </w:r>
          </w:p>
        </w:tc>
        <w:tc>
          <w:tcPr>
            <w:tcW w:w="4386" w:type="dxa"/>
            <w:shd w:val="clear" w:color="auto" w:fill="auto"/>
            <w:hideMark/>
          </w:tcPr>
          <w:p w14:paraId="1993D00E" w14:textId="54243CDA"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Les questions modifiées 1.2d et 2.2f s’adressent à tous les pays et tiennent compte du fait que de nombreux pays disposent d’autorités et de réglementations infranationales, même s’il ne s’agit pas d’États fédérés.</w:t>
            </w:r>
          </w:p>
        </w:tc>
        <w:tc>
          <w:tcPr>
            <w:tcW w:w="2389" w:type="dxa"/>
          </w:tcPr>
          <w:p w14:paraId="56A167E0" w14:textId="51FA8D98"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Identique à 2020.</w:t>
            </w:r>
          </w:p>
        </w:tc>
      </w:tr>
      <w:tr w:rsidR="00726B3C" w:rsidRPr="00A074ED" w14:paraId="3EE9DD31" w14:textId="77777777" w:rsidTr="568FBF53">
        <w:trPr>
          <w:trHeight w:val="716"/>
        </w:trPr>
        <w:tc>
          <w:tcPr>
            <w:tcW w:w="2262" w:type="dxa"/>
            <w:shd w:val="clear" w:color="auto" w:fill="auto"/>
            <w:hideMark/>
          </w:tcPr>
          <w:p w14:paraId="66D4FF6D" w14:textId="4DFCE8FF"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 xml:space="preserve">Questions 2.1e, 2.2c et 2.2d : prise en compte des questions de genre aux niveaux national, infranational et transfrontière. </w:t>
            </w:r>
          </w:p>
        </w:tc>
        <w:tc>
          <w:tcPr>
            <w:tcW w:w="4386" w:type="dxa"/>
            <w:shd w:val="clear" w:color="auto" w:fill="auto"/>
            <w:hideMark/>
          </w:tcPr>
          <w:p w14:paraId="1457D909" w14:textId="1D8F7EDB"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 xml:space="preserve">Ces trois questions ont été regroupées en une seule question 2.2d. Dans l’enquête de référence, la majorité des pays inscrivaient les mêmes notes à chaque niveau, si bien que trois questions différentes n’étaient pas nécessaires. Le regroupement de ces trois questions a laissé de la place pour deux nouvelles questions (voir ci-dessous). </w:t>
            </w:r>
          </w:p>
        </w:tc>
        <w:tc>
          <w:tcPr>
            <w:tcW w:w="2389" w:type="dxa"/>
          </w:tcPr>
          <w:p w14:paraId="092DD8FB" w14:textId="648F63BB"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Identique à 2020</w:t>
            </w:r>
          </w:p>
        </w:tc>
      </w:tr>
      <w:tr w:rsidR="00726B3C" w:rsidRPr="00A074ED" w14:paraId="66B3A2C6" w14:textId="77777777" w:rsidTr="568FBF53">
        <w:trPr>
          <w:trHeight w:val="286"/>
        </w:trPr>
        <w:tc>
          <w:tcPr>
            <w:tcW w:w="2262" w:type="dxa"/>
            <w:shd w:val="clear" w:color="auto" w:fill="auto"/>
            <w:hideMark/>
          </w:tcPr>
          <w:p w14:paraId="2CD769A2" w14:textId="3C91C482"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 xml:space="preserve">- </w:t>
            </w:r>
          </w:p>
        </w:tc>
        <w:tc>
          <w:tcPr>
            <w:tcW w:w="4386" w:type="dxa"/>
            <w:shd w:val="clear" w:color="auto" w:fill="auto"/>
            <w:hideMark/>
          </w:tcPr>
          <w:p w14:paraId="5EFC349B" w14:textId="2BE093D9"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 xml:space="preserve">Nouvelle question 2.2d sur les groupes vulnérables. Cette question illustre un élément important de la participation des parties prenantes dans un contexte visant à « ne laisser personne de côté », conformément à l’un des principes clés du Programme de développement durable à l’horizon 2030. </w:t>
            </w:r>
          </w:p>
        </w:tc>
        <w:tc>
          <w:tcPr>
            <w:tcW w:w="2389" w:type="dxa"/>
          </w:tcPr>
          <w:p w14:paraId="0C7B0676" w14:textId="20B88875"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Identique à 2020.</w:t>
            </w:r>
          </w:p>
        </w:tc>
      </w:tr>
      <w:tr w:rsidR="00726B3C" w:rsidRPr="00A074ED" w14:paraId="0D8F8378" w14:textId="77777777" w:rsidTr="568FBF53">
        <w:trPr>
          <w:trHeight w:val="286"/>
        </w:trPr>
        <w:tc>
          <w:tcPr>
            <w:tcW w:w="2262" w:type="dxa"/>
            <w:shd w:val="clear" w:color="auto" w:fill="auto"/>
            <w:hideMark/>
          </w:tcPr>
          <w:p w14:paraId="147871D4" w14:textId="5723A6E4"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 xml:space="preserve">- </w:t>
            </w:r>
          </w:p>
        </w:tc>
        <w:tc>
          <w:tcPr>
            <w:tcW w:w="4386" w:type="dxa"/>
            <w:shd w:val="clear" w:color="auto" w:fill="auto"/>
            <w:hideMark/>
          </w:tcPr>
          <w:p w14:paraId="6BB39B12" w14:textId="0B7E05E2" w:rsidR="00726B3C" w:rsidRPr="00A074ED" w:rsidRDefault="00726B3C" w:rsidP="00726B3C">
            <w:pPr>
              <w:spacing w:before="20" w:after="20"/>
              <w:textAlignment w:val="baseline"/>
              <w:rPr>
                <w:rFonts w:ascii="Segoe UI" w:eastAsia="Times New Roman" w:hAnsi="Segoe UI" w:cs="Segoe UI"/>
                <w:color w:val="12354E" w:themeColor="accent1" w:themeShade="BF"/>
                <w:sz w:val="22"/>
                <w:szCs w:val="22"/>
                <w:lang w:val="fr-FR"/>
              </w:rPr>
            </w:pPr>
            <w:r w:rsidRPr="00A074ED">
              <w:rPr>
                <w:color w:val="12354E" w:themeColor="accent1" w:themeShade="BF"/>
                <w:lang w:val="fr-FR"/>
              </w:rPr>
              <w:t xml:space="preserve">Nouvelle question 4.2d sur les budgets alloués aux éléments de la GIRE à l’échelle infranationale ou au niveau des bassins, prenant en compte l’importance de la disponibilité d’un financement à des niveaux plus « opérationnels ». </w:t>
            </w:r>
          </w:p>
        </w:tc>
        <w:tc>
          <w:tcPr>
            <w:tcW w:w="2389" w:type="dxa"/>
          </w:tcPr>
          <w:p w14:paraId="6450DF33" w14:textId="31530120"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Identique à 2020.</w:t>
            </w:r>
          </w:p>
        </w:tc>
      </w:tr>
      <w:tr w:rsidR="00726B3C" w:rsidRPr="00A074ED" w14:paraId="53E14CC5" w14:textId="77777777" w:rsidTr="568FBF53">
        <w:trPr>
          <w:trHeight w:val="286"/>
        </w:trPr>
        <w:tc>
          <w:tcPr>
            <w:tcW w:w="2262" w:type="dxa"/>
            <w:shd w:val="clear" w:color="auto" w:fill="auto"/>
          </w:tcPr>
          <w:p w14:paraId="55B34133" w14:textId="4EC36E5A"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w:t>
            </w:r>
          </w:p>
        </w:tc>
        <w:tc>
          <w:tcPr>
            <w:tcW w:w="4386" w:type="dxa"/>
            <w:shd w:val="clear" w:color="auto" w:fill="auto"/>
          </w:tcPr>
          <w:p w14:paraId="58D91A9E" w14:textId="0F09AAD7"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w:t>
            </w:r>
          </w:p>
        </w:tc>
        <w:tc>
          <w:tcPr>
            <w:tcW w:w="2389" w:type="dxa"/>
          </w:tcPr>
          <w:p w14:paraId="1BDEF81E" w14:textId="6D7772E6" w:rsidR="00726B3C" w:rsidRPr="00A074ED" w:rsidRDefault="00726B3C" w:rsidP="00726B3C">
            <w:pPr>
              <w:spacing w:before="20" w:after="20"/>
              <w:textAlignment w:val="baseline"/>
              <w:rPr>
                <w:rFonts w:ascii="Calibri" w:eastAsia="Times New Roman" w:hAnsi="Calibri" w:cs="Calibri"/>
                <w:color w:val="12354E" w:themeColor="accent1" w:themeShade="BF"/>
                <w:sz w:val="22"/>
                <w:szCs w:val="22"/>
                <w:lang w:val="fr-FR"/>
              </w:rPr>
            </w:pPr>
            <w:r w:rsidRPr="00A074ED">
              <w:rPr>
                <w:color w:val="12354E" w:themeColor="accent1" w:themeShade="BF"/>
                <w:lang w:val="fr-FR"/>
              </w:rPr>
              <w:t xml:space="preserve">Ajout d’une zone de texte libre réservée aux « considérations liées aux changements climatiques » pour les questions 1.1c, 2.1b, 2.1e, 3.1e et 4.1b (comme décrit dans l’enquête). </w:t>
            </w:r>
          </w:p>
        </w:tc>
      </w:tr>
    </w:tbl>
    <w:p w14:paraId="416324D0" w14:textId="77777777" w:rsidR="00AE431D" w:rsidRPr="00A074ED" w:rsidRDefault="00AE431D" w:rsidP="00970943">
      <w:pPr>
        <w:pStyle w:val="Body"/>
        <w:jc w:val="both"/>
      </w:pPr>
    </w:p>
    <w:p w14:paraId="61AEA33A" w14:textId="77777777" w:rsidR="000F7FB9" w:rsidRPr="00A074ED" w:rsidRDefault="000F7FB9" w:rsidP="568FBF53">
      <w:pPr>
        <w:pStyle w:val="Heading2"/>
        <w:rPr>
          <w:b w:val="0"/>
          <w:bCs w:val="0"/>
          <w:color w:val="12354E" w:themeColor="accent1" w:themeShade="BF"/>
          <w:sz w:val="24"/>
          <w:szCs w:val="24"/>
          <w:lang w:val="fr-FR"/>
        </w:rPr>
      </w:pPr>
      <w:r w:rsidRPr="00A074ED">
        <w:rPr>
          <w:b w:val="0"/>
          <w:bCs w:val="0"/>
          <w:color w:val="12354E" w:themeColor="accent1" w:themeShade="BF"/>
          <w:sz w:val="24"/>
          <w:szCs w:val="24"/>
          <w:lang w:val="fr-FR"/>
        </w:rPr>
        <w:t xml:space="preserve">Dans un souci de clarté, des modifications mineures ont été apportées aux descriptions de certains seuils, aux indications figurant dans les zones de texte libre, ainsi qu’au glossaire (annexe A de l’enquête). </w:t>
      </w:r>
    </w:p>
    <w:p w14:paraId="4D5A52F1" w14:textId="77777777" w:rsidR="000F7FB9" w:rsidRPr="00A074ED" w:rsidRDefault="000F7FB9" w:rsidP="000F7FB9">
      <w:pPr>
        <w:pStyle w:val="Heading2"/>
        <w:rPr>
          <w:lang w:val="fr-FR"/>
        </w:rPr>
      </w:pPr>
      <w:bookmarkStart w:id="3" w:name="_Annexe_3_:"/>
      <w:bookmarkEnd w:id="3"/>
      <w:r w:rsidRPr="00A074ED">
        <w:rPr>
          <w:lang w:val="fr-FR" w:bidi="fr-FR"/>
        </w:rPr>
        <w:lastRenderedPageBreak/>
        <w:t>Annexe 3 : Liens de l’enquête sur l’indicateur 6.5.1 renvoyant vers d’autres indicateurs des ODD</w:t>
      </w:r>
    </w:p>
    <w:tbl>
      <w:tblPr>
        <w:tblW w:w="899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073"/>
        <w:gridCol w:w="6919"/>
      </w:tblGrid>
      <w:tr w:rsidR="000F7FB9" w:rsidRPr="00A074ED" w14:paraId="05D63816" w14:textId="77777777" w:rsidTr="00F45523">
        <w:trPr>
          <w:trHeight w:val="294"/>
        </w:trPr>
        <w:tc>
          <w:tcPr>
            <w:tcW w:w="2073" w:type="dxa"/>
            <w:shd w:val="clear" w:color="auto" w:fill="194869" w:themeFill="accent1"/>
            <w:hideMark/>
          </w:tcPr>
          <w:p w14:paraId="5F9C51EA" w14:textId="6E825273" w:rsidR="000F7FB9" w:rsidRPr="00A074ED" w:rsidRDefault="000F7FB9" w:rsidP="000F7FB9">
            <w:pPr>
              <w:spacing w:before="60" w:after="60"/>
              <w:textAlignment w:val="baseline"/>
              <w:rPr>
                <w:rFonts w:ascii="Segoe UI" w:eastAsia="Times New Roman" w:hAnsi="Segoe UI" w:cs="Segoe UI"/>
                <w:b/>
                <w:bCs/>
                <w:color w:val="FFFFFF" w:themeColor="background1"/>
                <w:lang w:val="fr-FR"/>
              </w:rPr>
            </w:pPr>
            <w:r w:rsidRPr="00A074ED">
              <w:rPr>
                <w:b/>
                <w:bCs/>
                <w:color w:val="FFFFFF" w:themeColor="background1"/>
                <w:lang w:val="fr-FR"/>
              </w:rPr>
              <w:t xml:space="preserve">Question de l’enquête </w:t>
            </w:r>
          </w:p>
        </w:tc>
        <w:tc>
          <w:tcPr>
            <w:tcW w:w="6919" w:type="dxa"/>
            <w:shd w:val="clear" w:color="auto" w:fill="194869" w:themeFill="accent1"/>
            <w:hideMark/>
          </w:tcPr>
          <w:p w14:paraId="0AFF791E" w14:textId="19A14D62" w:rsidR="000F7FB9" w:rsidRPr="00A074ED" w:rsidRDefault="000F7FB9" w:rsidP="000F7FB9">
            <w:pPr>
              <w:spacing w:before="60" w:after="60"/>
              <w:textAlignment w:val="baseline"/>
              <w:rPr>
                <w:rFonts w:ascii="Segoe UI" w:eastAsia="Times New Roman" w:hAnsi="Segoe UI" w:cs="Segoe UI"/>
                <w:b/>
                <w:bCs/>
                <w:color w:val="FFFFFF" w:themeColor="background1"/>
                <w:lang w:val="fr-FR"/>
              </w:rPr>
            </w:pPr>
            <w:r w:rsidRPr="00A074ED">
              <w:rPr>
                <w:b/>
                <w:bCs/>
                <w:color w:val="FFFFFF" w:themeColor="background1"/>
                <w:lang w:val="fr-FR"/>
              </w:rPr>
              <w:t xml:space="preserve">Cible des ODD connexe </w:t>
            </w:r>
          </w:p>
        </w:tc>
      </w:tr>
      <w:tr w:rsidR="000F7FB9" w:rsidRPr="00A074ED" w14:paraId="15B8DDB2" w14:textId="77777777" w:rsidTr="568FBF53">
        <w:trPr>
          <w:trHeight w:val="294"/>
        </w:trPr>
        <w:tc>
          <w:tcPr>
            <w:tcW w:w="2073" w:type="dxa"/>
            <w:shd w:val="clear" w:color="auto" w:fill="auto"/>
            <w:vAlign w:val="center"/>
          </w:tcPr>
          <w:p w14:paraId="063262B6" w14:textId="460F09EE" w:rsidR="000F7FB9" w:rsidRPr="00A074ED" w:rsidRDefault="000F7FB9" w:rsidP="000F7FB9">
            <w:pPr>
              <w:spacing w:before="60" w:after="60"/>
              <w:textAlignment w:val="baseline"/>
              <w:rPr>
                <w:rFonts w:ascii="Calibri" w:eastAsia="Times New Roman" w:hAnsi="Calibri" w:cs="Calibri"/>
                <w:color w:val="323E4F" w:themeColor="text2" w:themeShade="BF"/>
                <w:lang w:val="fr-FR"/>
              </w:rPr>
            </w:pPr>
            <w:r w:rsidRPr="00A074ED">
              <w:rPr>
                <w:color w:val="323E4F" w:themeColor="text2" w:themeShade="BF"/>
                <w:lang w:val="fr-FR" w:bidi="fr-FR"/>
              </w:rPr>
              <w:t>1.2c, 2.2e, 3.2d, 4.1c</w:t>
            </w:r>
          </w:p>
        </w:tc>
        <w:tc>
          <w:tcPr>
            <w:tcW w:w="6919" w:type="dxa"/>
            <w:shd w:val="clear" w:color="auto" w:fill="auto"/>
            <w:vAlign w:val="center"/>
          </w:tcPr>
          <w:p w14:paraId="560194DE" w14:textId="02DA341B" w:rsidR="000F7FB9" w:rsidRPr="00A074ED" w:rsidRDefault="000F7FB9" w:rsidP="000F7FB9">
            <w:pPr>
              <w:spacing w:before="60" w:after="60"/>
              <w:textAlignment w:val="baseline"/>
              <w:rPr>
                <w:color w:val="12354E" w:themeColor="accent1" w:themeShade="BF"/>
                <w:lang w:val="fr-FR"/>
              </w:rPr>
            </w:pPr>
            <w:r w:rsidRPr="00A074ED">
              <w:rPr>
                <w:color w:val="323E4F" w:themeColor="text2" w:themeShade="BF"/>
                <w:lang w:val="fr-FR" w:bidi="fr-FR"/>
              </w:rPr>
              <w:t xml:space="preserve">Questions transfrontières liées à </w:t>
            </w:r>
            <w:r w:rsidRPr="00A074ED">
              <w:rPr>
                <w:lang w:val="fr-FR" w:bidi="fr-FR"/>
              </w:rPr>
              <w:t>l’</w:t>
            </w:r>
            <w:hyperlink r:id="rId55">
              <w:r w:rsidRPr="00A074ED">
                <w:rPr>
                  <w:rStyle w:val="Hyperlink"/>
                  <w:lang w:val="fr-FR" w:bidi="fr-FR"/>
                </w:rPr>
                <w:t>indicateur 6.5.2</w:t>
              </w:r>
            </w:hyperlink>
            <w:r w:rsidRPr="00A074ED">
              <w:rPr>
                <w:lang w:val="fr-FR" w:bidi="fr-FR"/>
              </w:rPr>
              <w:t xml:space="preserve">. </w:t>
            </w:r>
          </w:p>
        </w:tc>
      </w:tr>
      <w:tr w:rsidR="000F7FB9" w:rsidRPr="00A074ED" w14:paraId="69AE4323" w14:textId="77777777" w:rsidTr="568FBF53">
        <w:trPr>
          <w:trHeight w:val="294"/>
        </w:trPr>
        <w:tc>
          <w:tcPr>
            <w:tcW w:w="2073" w:type="dxa"/>
            <w:shd w:val="clear" w:color="auto" w:fill="auto"/>
            <w:vAlign w:val="center"/>
            <w:hideMark/>
          </w:tcPr>
          <w:p w14:paraId="701DAF5B" w14:textId="0BC2B5C7"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2.2b Participation des citoyens au niveau local </w:t>
            </w:r>
          </w:p>
        </w:tc>
        <w:tc>
          <w:tcPr>
            <w:tcW w:w="6919" w:type="dxa"/>
            <w:shd w:val="clear" w:color="auto" w:fill="auto"/>
            <w:vAlign w:val="center"/>
            <w:hideMark/>
          </w:tcPr>
          <w:p w14:paraId="3DDD3104" w14:textId="51BE5387" w:rsidR="000F7FB9" w:rsidRPr="00A074ED" w:rsidRDefault="005B000C" w:rsidP="000F7FB9">
            <w:pPr>
              <w:spacing w:before="60" w:after="60"/>
              <w:textAlignment w:val="baseline"/>
              <w:rPr>
                <w:rFonts w:ascii="Segoe UI" w:eastAsia="Times New Roman" w:hAnsi="Segoe UI" w:cs="Segoe UI"/>
                <w:color w:val="12354E" w:themeColor="accent1" w:themeShade="BF"/>
                <w:lang w:val="fr-FR"/>
              </w:rPr>
            </w:pPr>
            <w:hyperlink r:id="rId56">
              <w:r w:rsidR="000F7FB9" w:rsidRPr="00A074ED">
                <w:rPr>
                  <w:rStyle w:val="Hyperlink"/>
                  <w:lang w:val="fr-FR"/>
                </w:rPr>
                <w:t>6.b</w:t>
              </w:r>
            </w:hyperlink>
            <w:r w:rsidR="000F7FB9" w:rsidRPr="00A074ED">
              <w:rPr>
                <w:lang w:val="fr-FR" w:bidi="fr-FR"/>
              </w:rPr>
              <w:t> </w:t>
            </w:r>
            <w:r w:rsidR="000F7FB9" w:rsidRPr="00A074ED">
              <w:rPr>
                <w:color w:val="323E4F" w:themeColor="text2" w:themeShade="BF"/>
                <w:lang w:val="fr-FR" w:bidi="fr-FR"/>
              </w:rPr>
              <w:t>: Appuyer et renforcer la participation de la population locale à l’amélioration de la gestion de l’eau et de l’assainissement. </w:t>
            </w:r>
          </w:p>
        </w:tc>
      </w:tr>
      <w:tr w:rsidR="000F7FB9" w:rsidRPr="00A074ED" w14:paraId="07F3FCC6" w14:textId="77777777" w:rsidTr="568FBF53">
        <w:trPr>
          <w:trHeight w:val="294"/>
        </w:trPr>
        <w:tc>
          <w:tcPr>
            <w:tcW w:w="2073" w:type="dxa"/>
            <w:shd w:val="clear" w:color="auto" w:fill="auto"/>
            <w:vAlign w:val="center"/>
            <w:hideMark/>
          </w:tcPr>
          <w:p w14:paraId="5D528A01" w14:textId="7E56F978"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2.2d Prise en compte du genre dans les lois, les plans ou équivalents </w:t>
            </w:r>
          </w:p>
        </w:tc>
        <w:tc>
          <w:tcPr>
            <w:tcW w:w="6919" w:type="dxa"/>
            <w:shd w:val="clear" w:color="auto" w:fill="auto"/>
            <w:vAlign w:val="center"/>
            <w:hideMark/>
          </w:tcPr>
          <w:p w14:paraId="42851E9B" w14:textId="3B68CF7A" w:rsidR="000F7FB9" w:rsidRPr="00A074ED" w:rsidRDefault="000F7FB9" w:rsidP="000F7FB9">
            <w:pPr>
              <w:spacing w:before="60" w:after="60"/>
              <w:textAlignment w:val="baseline"/>
              <w:rPr>
                <w:color w:val="323E4F" w:themeColor="text2" w:themeShade="BF"/>
                <w:lang w:val="fr-FR" w:bidi="fr-FR"/>
              </w:rPr>
            </w:pPr>
            <w:r w:rsidRPr="00A074ED">
              <w:rPr>
                <w:color w:val="323E4F" w:themeColor="text2" w:themeShade="BF"/>
                <w:lang w:val="fr-FR" w:bidi="fr-FR"/>
              </w:rPr>
              <w:t xml:space="preserve">Question A14.a de l’enquête </w:t>
            </w:r>
            <w:hyperlink r:id="rId57">
              <w:r w:rsidRPr="00A074ED">
                <w:rPr>
                  <w:rStyle w:val="Hyperlink"/>
                  <w:lang w:val="fr-FR"/>
                </w:rPr>
                <w:t>GLAAS</w:t>
              </w:r>
            </w:hyperlink>
            <w:r w:rsidRPr="00A074ED">
              <w:rPr>
                <w:color w:val="323E4F" w:themeColor="text2" w:themeShade="BF"/>
                <w:lang w:val="fr-FR" w:bidi="fr-FR"/>
              </w:rPr>
              <w:t xml:space="preserve"> (analyse et évaluation mondiales sur l’assainissement et l’eau potable). </w:t>
            </w:r>
            <w:hyperlink r:id="rId58">
              <w:r w:rsidRPr="00A074ED">
                <w:rPr>
                  <w:rStyle w:val="Hyperlink"/>
                  <w:lang w:val="fr-FR"/>
                </w:rPr>
                <w:t>5.5</w:t>
              </w:r>
            </w:hyperlink>
            <w:r w:rsidRPr="00A074ED">
              <w:rPr>
                <w:color w:val="323E4F" w:themeColor="text2" w:themeShade="BF"/>
                <w:lang w:val="fr-FR" w:bidi="fr-FR"/>
              </w:rPr>
              <w:t> : Veiller à ce que les femmes participent pleinement et effectivement aux fonctions de direction à tous les niveaux […], dans la vie politique, économique et publique, et y accèdent sur un pied d’égalité.</w:t>
            </w:r>
          </w:p>
        </w:tc>
      </w:tr>
      <w:tr w:rsidR="000F7FB9" w:rsidRPr="00A074ED" w14:paraId="021FC571" w14:textId="77777777" w:rsidTr="568FBF53">
        <w:trPr>
          <w:trHeight w:val="294"/>
        </w:trPr>
        <w:tc>
          <w:tcPr>
            <w:tcW w:w="2073" w:type="dxa"/>
            <w:shd w:val="clear" w:color="auto" w:fill="auto"/>
            <w:vAlign w:val="center"/>
            <w:hideMark/>
          </w:tcPr>
          <w:p w14:paraId="3634F0F3" w14:textId="0CE1E82E"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3.1a Suivi national de la disponibilité de l’eau </w:t>
            </w:r>
          </w:p>
        </w:tc>
        <w:tc>
          <w:tcPr>
            <w:tcW w:w="6919" w:type="dxa"/>
            <w:vMerge w:val="restart"/>
            <w:shd w:val="clear" w:color="auto" w:fill="auto"/>
            <w:vAlign w:val="center"/>
            <w:hideMark/>
          </w:tcPr>
          <w:p w14:paraId="280C7CE2" w14:textId="58973587" w:rsidR="000F7FB9" w:rsidRPr="00A074ED" w:rsidRDefault="005B000C" w:rsidP="000F7FB9">
            <w:pPr>
              <w:spacing w:before="60" w:after="60"/>
              <w:textAlignment w:val="baseline"/>
              <w:rPr>
                <w:color w:val="323E4F" w:themeColor="text2" w:themeShade="BF"/>
                <w:lang w:val="fr-FR" w:bidi="fr-FR"/>
              </w:rPr>
            </w:pPr>
            <w:hyperlink r:id="rId59">
              <w:r w:rsidR="000F7FB9" w:rsidRPr="00A074ED">
                <w:rPr>
                  <w:rStyle w:val="Hyperlink"/>
                  <w:lang w:val="fr-FR"/>
                </w:rPr>
                <w:t>6.4</w:t>
              </w:r>
            </w:hyperlink>
            <w:r w:rsidR="000F7FB9" w:rsidRPr="00A074ED">
              <w:rPr>
                <w:color w:val="323E4F" w:themeColor="text2" w:themeShade="BF"/>
                <w:lang w:val="fr-FR" w:bidi="fr-FR"/>
              </w:rPr>
              <w:t> : D’ici à 2030, faire en sorte que les ressources en eau soient utilisées beaucoup plus efficacement dans tous les secteurs, et garantir la viabilité des prélèvements et de l’approvisionnement en eau douce afin de remédier à la pénurie d’eau et de réduire nettement le nombre de personnes qui manquent d’eau. </w:t>
            </w:r>
          </w:p>
        </w:tc>
      </w:tr>
      <w:tr w:rsidR="000F7FB9" w:rsidRPr="00A074ED" w14:paraId="3F79B25E" w14:textId="77777777" w:rsidTr="568FBF53">
        <w:trPr>
          <w:trHeight w:val="294"/>
        </w:trPr>
        <w:tc>
          <w:tcPr>
            <w:tcW w:w="2073" w:type="dxa"/>
            <w:shd w:val="clear" w:color="auto" w:fill="auto"/>
            <w:vAlign w:val="center"/>
            <w:hideMark/>
          </w:tcPr>
          <w:p w14:paraId="17E643A4" w14:textId="1F1801D5"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3.1b Gestion durable et efficace de l’utilisation de l’eau </w:t>
            </w:r>
          </w:p>
        </w:tc>
        <w:tc>
          <w:tcPr>
            <w:tcW w:w="6919" w:type="dxa"/>
            <w:vMerge/>
            <w:vAlign w:val="center"/>
            <w:hideMark/>
          </w:tcPr>
          <w:p w14:paraId="77BD97E9" w14:textId="77777777" w:rsidR="000F7FB9" w:rsidRPr="00A074ED" w:rsidRDefault="000F7FB9" w:rsidP="000F7FB9">
            <w:pPr>
              <w:spacing w:before="60" w:after="60"/>
              <w:textAlignment w:val="baseline"/>
              <w:rPr>
                <w:color w:val="323E4F" w:themeColor="text2" w:themeShade="BF"/>
                <w:lang w:val="fr-FR" w:bidi="fr-FR"/>
              </w:rPr>
            </w:pPr>
          </w:p>
        </w:tc>
      </w:tr>
      <w:tr w:rsidR="000F7FB9" w:rsidRPr="00A074ED" w14:paraId="08BF9603" w14:textId="77777777" w:rsidTr="568FBF53">
        <w:trPr>
          <w:trHeight w:val="294"/>
        </w:trPr>
        <w:tc>
          <w:tcPr>
            <w:tcW w:w="2073" w:type="dxa"/>
            <w:shd w:val="clear" w:color="auto" w:fill="auto"/>
            <w:vAlign w:val="center"/>
            <w:hideMark/>
          </w:tcPr>
          <w:p w14:paraId="3ABC8934" w14:textId="7B64329D"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3.1c Contrôle de la pollution </w:t>
            </w:r>
          </w:p>
        </w:tc>
        <w:tc>
          <w:tcPr>
            <w:tcW w:w="6919" w:type="dxa"/>
            <w:shd w:val="clear" w:color="auto" w:fill="auto"/>
            <w:vAlign w:val="center"/>
            <w:hideMark/>
          </w:tcPr>
          <w:p w14:paraId="6DE86D8C" w14:textId="0DC62E38" w:rsidR="000F7FB9" w:rsidRPr="00A074ED" w:rsidRDefault="005B000C" w:rsidP="000F7FB9">
            <w:pPr>
              <w:spacing w:before="60" w:after="60"/>
              <w:textAlignment w:val="baseline"/>
              <w:rPr>
                <w:color w:val="323E4F" w:themeColor="text2" w:themeShade="BF"/>
                <w:lang w:val="fr-FR" w:bidi="fr-FR"/>
              </w:rPr>
            </w:pPr>
            <w:hyperlink r:id="rId60">
              <w:r w:rsidR="000F7FB9" w:rsidRPr="00A074ED">
                <w:rPr>
                  <w:rStyle w:val="Hyperlink"/>
                  <w:lang w:val="fr-FR"/>
                </w:rPr>
                <w:t>6.3</w:t>
              </w:r>
            </w:hyperlink>
            <w:r w:rsidR="000F7FB9" w:rsidRPr="00A074ED">
              <w:rPr>
                <w:color w:val="323E4F" w:themeColor="text2" w:themeShade="BF"/>
                <w:lang w:val="fr-FR" w:bidi="fr-FR"/>
              </w:rPr>
              <w:t> : D’ici à 2030, améliorer la qualité de l’eau en réduisant la pollution, en éliminant l’immersion des déchets et en réduisant au minimum les émissions de produits chimiques et de matières dangereuses, en diminuant de moitié la proportion d’eaux usées non traitées et en augmentant nettement le recyclage et la réutilisation sans danger de l’eau à l’échelle mondiale. </w:t>
            </w:r>
          </w:p>
        </w:tc>
      </w:tr>
      <w:tr w:rsidR="000F7FB9" w:rsidRPr="00A074ED" w14:paraId="3ACE2F13" w14:textId="77777777" w:rsidTr="568FBF53">
        <w:trPr>
          <w:trHeight w:val="294"/>
        </w:trPr>
        <w:tc>
          <w:tcPr>
            <w:tcW w:w="2073" w:type="dxa"/>
            <w:shd w:val="clear" w:color="auto" w:fill="auto"/>
            <w:vAlign w:val="center"/>
            <w:hideMark/>
          </w:tcPr>
          <w:p w14:paraId="38EAB833" w14:textId="05B5E421"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3.1d Gestion des écosystèmes liés à l’eau </w:t>
            </w:r>
          </w:p>
        </w:tc>
        <w:tc>
          <w:tcPr>
            <w:tcW w:w="6919" w:type="dxa"/>
            <w:shd w:val="clear" w:color="auto" w:fill="auto"/>
            <w:vAlign w:val="center"/>
            <w:hideMark/>
          </w:tcPr>
          <w:p w14:paraId="1FA93E77" w14:textId="6FE77EE0" w:rsidR="000F7FB9" w:rsidRPr="00A074ED" w:rsidRDefault="005B000C" w:rsidP="000F7FB9">
            <w:pPr>
              <w:spacing w:before="60" w:after="60"/>
              <w:textAlignment w:val="baseline"/>
              <w:rPr>
                <w:color w:val="323E4F" w:themeColor="text2" w:themeShade="BF"/>
                <w:lang w:val="fr-FR" w:bidi="fr-FR"/>
              </w:rPr>
            </w:pPr>
            <w:hyperlink r:id="rId61">
              <w:r w:rsidR="000F7FB9" w:rsidRPr="00A074ED">
                <w:rPr>
                  <w:rStyle w:val="Hyperlink"/>
                  <w:lang w:val="fr-FR"/>
                </w:rPr>
                <w:t>6.6</w:t>
              </w:r>
            </w:hyperlink>
            <w:r w:rsidR="000F7FB9" w:rsidRPr="00A074ED">
              <w:rPr>
                <w:color w:val="323E4F" w:themeColor="text2" w:themeShade="BF"/>
                <w:lang w:val="fr-FR" w:bidi="fr-FR"/>
              </w:rPr>
              <w:t> : D’ici à 2020, protéger et restaurer les écosystèmes liés à l’eau, notamment les montagnes, les forêts, les zones humides, les rivières, les aquifères et les lacs. </w:t>
            </w:r>
          </w:p>
        </w:tc>
      </w:tr>
      <w:tr w:rsidR="000F7FB9" w:rsidRPr="00A074ED" w14:paraId="23A744BC" w14:textId="77777777" w:rsidTr="568FBF53">
        <w:trPr>
          <w:trHeight w:val="294"/>
        </w:trPr>
        <w:tc>
          <w:tcPr>
            <w:tcW w:w="2073" w:type="dxa"/>
            <w:shd w:val="clear" w:color="auto" w:fill="auto"/>
            <w:vAlign w:val="center"/>
            <w:hideMark/>
          </w:tcPr>
          <w:p w14:paraId="12F0CF8F" w14:textId="283F5E6A" w:rsidR="000F7FB9" w:rsidRPr="00A074ED" w:rsidRDefault="000F7FB9" w:rsidP="000F7FB9">
            <w:pPr>
              <w:spacing w:before="60" w:after="60"/>
              <w:textAlignment w:val="baseline"/>
              <w:rPr>
                <w:rFonts w:ascii="Segoe UI" w:eastAsia="Times New Roman" w:hAnsi="Segoe UI" w:cs="Segoe UI"/>
                <w:color w:val="323E4F" w:themeColor="text2" w:themeShade="BF"/>
                <w:lang w:val="fr-FR"/>
              </w:rPr>
            </w:pPr>
            <w:r w:rsidRPr="00A074ED">
              <w:rPr>
                <w:color w:val="323E4F" w:themeColor="text2" w:themeShade="BF"/>
                <w:lang w:val="fr-FR" w:bidi="fr-FR"/>
              </w:rPr>
              <w:t>3.1e Instruments de gestion visant à réduire les répercussions des catastrophes liées à l’eau </w:t>
            </w:r>
          </w:p>
        </w:tc>
        <w:tc>
          <w:tcPr>
            <w:tcW w:w="6919" w:type="dxa"/>
            <w:shd w:val="clear" w:color="auto" w:fill="auto"/>
            <w:vAlign w:val="center"/>
            <w:hideMark/>
          </w:tcPr>
          <w:p w14:paraId="3B576AC1" w14:textId="37779D1B" w:rsidR="000F7FB9" w:rsidRPr="00A074ED" w:rsidRDefault="005B000C" w:rsidP="000F7FB9">
            <w:pPr>
              <w:spacing w:before="60" w:after="60"/>
              <w:textAlignment w:val="baseline"/>
              <w:rPr>
                <w:color w:val="323E4F" w:themeColor="text2" w:themeShade="BF"/>
                <w:lang w:val="fr-FR" w:bidi="fr-FR"/>
              </w:rPr>
            </w:pPr>
            <w:hyperlink r:id="rId62">
              <w:r w:rsidR="000F7FB9" w:rsidRPr="00A074ED">
                <w:rPr>
                  <w:rStyle w:val="Hyperlink"/>
                  <w:lang w:val="fr-FR"/>
                </w:rPr>
                <w:t>11.5</w:t>
              </w:r>
            </w:hyperlink>
            <w:r w:rsidR="000F7FB9" w:rsidRPr="00A074ED">
              <w:rPr>
                <w:color w:val="323E4F" w:themeColor="text2" w:themeShade="BF"/>
                <w:lang w:val="fr-FR" w:bidi="fr-FR"/>
              </w:rPr>
              <w:t> : D’ici à 2030, réduire nettement le nombre de personnes tuées et touchées par les catastrophes, y compris celles qui sont liées à l’eau, et réduire nettement la part du produit intérieur brut mondial représentée par les pertes économiques directement imputables à ces catastrophes, l’accent étant mis sur la protection des personnes pauvres et en situation de vulnérabilité. </w:t>
            </w:r>
          </w:p>
        </w:tc>
      </w:tr>
    </w:tbl>
    <w:p w14:paraId="2C1EC739" w14:textId="77777777" w:rsidR="00970943" w:rsidRPr="00A074ED" w:rsidRDefault="00970943" w:rsidP="00970943">
      <w:pPr>
        <w:pStyle w:val="Body"/>
        <w:jc w:val="both"/>
      </w:pPr>
    </w:p>
    <w:sectPr w:rsidR="00970943" w:rsidRPr="00A074ED" w:rsidSect="003732C1">
      <w:headerReference w:type="default" r:id="rId63"/>
      <w:footerReference w:type="default" r:id="rId64"/>
      <w:headerReference w:type="first" r:id="rId65"/>
      <w:footerReference w:type="first" r:id="rId6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9854FE" w14:textId="77777777" w:rsidR="00C50651" w:rsidRDefault="00C50651" w:rsidP="009819C7">
      <w:r>
        <w:separator/>
      </w:r>
    </w:p>
  </w:endnote>
  <w:endnote w:type="continuationSeparator" w:id="0">
    <w:p w14:paraId="2DBE541C" w14:textId="77777777" w:rsidR="00C50651" w:rsidRDefault="00C50651"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6C21B5" w:rsidRPr="0088082D" w:rsidRDefault="006C21B5">
        <w:pPr>
          <w:pStyle w:val="Footer"/>
          <w:jc w:val="right"/>
        </w:pPr>
        <w:r>
          <w:fldChar w:fldCharType="begin"/>
        </w:r>
        <w:r>
          <w:instrText xml:space="preserve"> PAGE   \* MERGEFORMAT </w:instrText>
        </w:r>
        <w:r>
          <w:fldChar w:fldCharType="separate"/>
        </w:r>
        <w:r w:rsidR="00C42BB9">
          <w:rPr>
            <w:noProof/>
          </w:rPr>
          <w:t>8</w:t>
        </w:r>
        <w:r>
          <w:fldChar w:fldCharType="end"/>
        </w:r>
      </w:p>
    </w:sdtContent>
  </w:sdt>
  <w:p w14:paraId="4089E08A" w14:textId="7FF9BBCE" w:rsidR="0019531E" w:rsidRPr="00382FD3" w:rsidRDefault="0019531E" w:rsidP="00382FD3">
    <w:pPr>
      <w:pStyle w:val="Footer"/>
      <w:jc w:val="right"/>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3750A5F" w14:paraId="58C385F6" w14:textId="77777777" w:rsidTr="568FBF53">
      <w:trPr>
        <w:trHeight w:val="300"/>
      </w:trPr>
      <w:tc>
        <w:tcPr>
          <w:tcW w:w="3005" w:type="dxa"/>
        </w:tcPr>
        <w:p w14:paraId="19F87736" w14:textId="6143D341" w:rsidR="13750A5F" w:rsidRDefault="13750A5F" w:rsidP="13750A5F">
          <w:pPr>
            <w:pStyle w:val="Header"/>
            <w:ind w:left="-115"/>
          </w:pPr>
        </w:p>
      </w:tc>
      <w:tc>
        <w:tcPr>
          <w:tcW w:w="3005" w:type="dxa"/>
        </w:tcPr>
        <w:p w14:paraId="30EE137A" w14:textId="58158109" w:rsidR="13750A5F" w:rsidRDefault="13750A5F" w:rsidP="13750A5F">
          <w:pPr>
            <w:pStyle w:val="Header"/>
            <w:jc w:val="center"/>
          </w:pPr>
        </w:p>
      </w:tc>
      <w:tc>
        <w:tcPr>
          <w:tcW w:w="3005" w:type="dxa"/>
        </w:tcPr>
        <w:p w14:paraId="67CAD441" w14:textId="524FB555" w:rsidR="13750A5F" w:rsidRDefault="13750A5F" w:rsidP="13750A5F">
          <w:pPr>
            <w:pStyle w:val="Header"/>
            <w:ind w:right="-115"/>
            <w:jc w:val="right"/>
          </w:pPr>
        </w:p>
      </w:tc>
    </w:tr>
  </w:tbl>
  <w:p w14:paraId="317529D0" w14:textId="6B9E3BBC" w:rsidR="13750A5F" w:rsidRDefault="13750A5F" w:rsidP="13750A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E57C5" w14:textId="77777777" w:rsidR="00C50651" w:rsidRDefault="00C50651" w:rsidP="009819C7">
      <w:r>
        <w:separator/>
      </w:r>
    </w:p>
  </w:footnote>
  <w:footnote w:type="continuationSeparator" w:id="0">
    <w:p w14:paraId="0DF35344" w14:textId="77777777" w:rsidR="00C50651" w:rsidRDefault="00C50651" w:rsidP="009819C7">
      <w:r>
        <w:continuationSeparator/>
      </w:r>
    </w:p>
  </w:footnote>
  <w:footnote w:id="1">
    <w:p w14:paraId="6838B0EA" w14:textId="77777777" w:rsidR="00ED102B" w:rsidRPr="00D20D47" w:rsidRDefault="00ED102B" w:rsidP="00ED102B">
      <w:pPr>
        <w:pStyle w:val="FootnoteText"/>
        <w:rPr>
          <w:sz w:val="20"/>
          <w:szCs w:val="20"/>
          <w:lang w:val="fr-FR"/>
        </w:rPr>
      </w:pPr>
      <w:r w:rsidRPr="00ED102B">
        <w:rPr>
          <w:rStyle w:val="FootnoteReference"/>
          <w:color w:val="323E4F" w:themeColor="text2" w:themeShade="BF"/>
          <w:sz w:val="20"/>
          <w:lang w:val="fr-FR" w:bidi="fr-FR"/>
        </w:rPr>
        <w:footnoteRef/>
      </w:r>
      <w:r w:rsidRPr="00ED102B">
        <w:rPr>
          <w:color w:val="323E4F" w:themeColor="text2" w:themeShade="BF"/>
          <w:sz w:val="20"/>
          <w:lang w:val="fr-FR" w:bidi="fr-FR"/>
        </w:rPr>
        <w:t xml:space="preserve"> La Division de statistique de l’ONU met à disposition un </w:t>
      </w:r>
      <w:hyperlink r:id="rId1" w:history="1">
        <w:r w:rsidRPr="00F90D47">
          <w:rPr>
            <w:rStyle w:val="Hyperlink"/>
            <w:sz w:val="20"/>
            <w:lang w:val="fr-FR" w:bidi="fr-FR"/>
          </w:rPr>
          <w:t>modèle de métadonnées harmonisées sur l’indicateur 6.5.1</w:t>
        </w:r>
      </w:hyperlink>
      <w:r w:rsidRPr="0090715C">
        <w:rPr>
          <w:sz w:val="20"/>
          <w:lang w:val="fr-FR" w:bidi="fr-FR"/>
        </w:rPr>
        <w:t xml:space="preserve"> </w:t>
      </w:r>
      <w:r w:rsidRPr="00ED102B">
        <w:rPr>
          <w:color w:val="323E4F" w:themeColor="text2" w:themeShade="BF"/>
          <w:sz w:val="20"/>
          <w:lang w:val="fr-FR" w:bidi="fr-FR"/>
        </w:rPr>
        <w:t>(</w:t>
      </w:r>
      <w:proofErr w:type="spellStart"/>
      <w:r w:rsidRPr="00ED102B">
        <w:rPr>
          <w:color w:val="323E4F" w:themeColor="text2" w:themeShade="BF"/>
          <w:sz w:val="20"/>
          <w:lang w:val="fr-FR" w:bidi="fr-FR"/>
        </w:rPr>
        <w:t>Metadata</w:t>
      </w:r>
      <w:proofErr w:type="spellEnd"/>
      <w:r w:rsidRPr="00ED102B">
        <w:rPr>
          <w:color w:val="323E4F" w:themeColor="text2" w:themeShade="BF"/>
          <w:sz w:val="20"/>
          <w:lang w:val="fr-FR" w:bidi="fr-FR"/>
        </w:rPr>
        <w:t xml:space="preserve"> </w:t>
      </w:r>
      <w:proofErr w:type="spellStart"/>
      <w:r w:rsidRPr="00ED102B">
        <w:rPr>
          <w:color w:val="323E4F" w:themeColor="text2" w:themeShade="BF"/>
          <w:sz w:val="20"/>
          <w:lang w:val="fr-FR" w:bidi="fr-FR"/>
        </w:rPr>
        <w:t>Sheet</w:t>
      </w:r>
      <w:proofErr w:type="spellEnd"/>
      <w:r w:rsidRPr="00ED102B">
        <w:rPr>
          <w:color w:val="323E4F" w:themeColor="text2" w:themeShade="BF"/>
          <w:sz w:val="20"/>
          <w:lang w:val="fr-FR" w:bidi="fr-FR"/>
        </w:rPr>
        <w:t xml:space="preserve"> for 6.5.1) qui peut être utile aux bureaux nationaux de statistique.</w:t>
      </w:r>
    </w:p>
  </w:footnote>
  <w:footnote w:id="2">
    <w:p w14:paraId="70177310" w14:textId="77777777" w:rsidR="00ED102B" w:rsidRPr="001A50AA" w:rsidRDefault="00ED102B" w:rsidP="00ED102B">
      <w:pPr>
        <w:pStyle w:val="FootnoteText"/>
        <w:spacing w:line="240" w:lineRule="auto"/>
        <w:rPr>
          <w:color w:val="323E4F" w:themeColor="text2" w:themeShade="BF"/>
          <w:sz w:val="20"/>
          <w:szCs w:val="20"/>
          <w:lang w:val="fr-FR"/>
        </w:rPr>
      </w:pPr>
      <w:r w:rsidRPr="00F33DF1">
        <w:rPr>
          <w:rStyle w:val="FootnoteReference"/>
          <w:sz w:val="20"/>
          <w:lang w:val="fr-FR" w:bidi="fr-FR"/>
        </w:rPr>
        <w:footnoteRef/>
      </w:r>
      <w:r w:rsidRPr="00F33DF1">
        <w:rPr>
          <w:sz w:val="20"/>
          <w:lang w:val="fr-FR" w:bidi="fr-FR"/>
        </w:rPr>
        <w:t xml:space="preserve"> </w:t>
      </w:r>
      <w:r w:rsidRPr="001A50AA">
        <w:rPr>
          <w:color w:val="323E4F" w:themeColor="text2" w:themeShade="BF"/>
          <w:sz w:val="20"/>
          <w:lang w:val="fr-FR" w:bidi="fr-FR"/>
        </w:rPr>
        <w:t>Format du nom de fichier : Nomdupays_651_2023_2-lettres-code-langue_VERSION-PROVISOIRE_ver.X_jjmmaaa.docx</w:t>
      </w:r>
    </w:p>
  </w:footnote>
  <w:footnote w:id="3">
    <w:p w14:paraId="4EA61869" w14:textId="77777777" w:rsidR="00ED102B" w:rsidRPr="001A50AA" w:rsidRDefault="00ED102B" w:rsidP="00ED102B">
      <w:pPr>
        <w:pStyle w:val="FootnoteText"/>
        <w:spacing w:line="240" w:lineRule="auto"/>
        <w:rPr>
          <w:color w:val="323E4F" w:themeColor="text2" w:themeShade="BF"/>
          <w:lang w:val="fr-FR"/>
        </w:rPr>
      </w:pPr>
      <w:r w:rsidRPr="001A50AA">
        <w:rPr>
          <w:rStyle w:val="FootnoteReference"/>
          <w:color w:val="323E4F" w:themeColor="text2" w:themeShade="BF"/>
          <w:sz w:val="20"/>
          <w:lang w:val="fr-FR" w:bidi="fr-FR"/>
        </w:rPr>
        <w:footnoteRef/>
      </w:r>
      <w:r w:rsidRPr="001A50AA">
        <w:rPr>
          <w:color w:val="323E4F" w:themeColor="text2" w:themeShade="BF"/>
          <w:sz w:val="20"/>
          <w:lang w:val="fr-FR" w:bidi="fr-FR"/>
        </w:rPr>
        <w:t xml:space="preserve"> Format du nom de fichier : Nomdupays_651_2023_2-lettres-code-langue_VERSION-FINALE_ver.X_jjmmaaa.docx</w:t>
      </w:r>
    </w:p>
  </w:footnote>
  <w:footnote w:id="4">
    <w:p w14:paraId="19E79428" w14:textId="77777777" w:rsidR="00CC50EC" w:rsidRPr="007F3252" w:rsidRDefault="00CC50EC" w:rsidP="00CC50EC">
      <w:pPr>
        <w:pStyle w:val="FootnoteText"/>
        <w:rPr>
          <w:sz w:val="20"/>
          <w:szCs w:val="20"/>
        </w:rPr>
      </w:pPr>
      <w:r w:rsidRPr="001A50AA">
        <w:rPr>
          <w:rStyle w:val="FootnoteReference"/>
          <w:color w:val="323E4F" w:themeColor="text2" w:themeShade="BF"/>
          <w:sz w:val="20"/>
          <w:lang w:val="fr-FR" w:bidi="fr-FR"/>
        </w:rPr>
        <w:footnoteRef/>
      </w:r>
      <w:r w:rsidRPr="001A50AA">
        <w:rPr>
          <w:color w:val="323E4F" w:themeColor="text2" w:themeShade="BF"/>
          <w:sz w:val="20"/>
          <w:lang w:val="fr-FR" w:bidi="fr-FR"/>
        </w:rPr>
        <w:t xml:space="preserve"> 2017, 2020, 2023 et, prochainement, 2026 et 2030.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3750A5F" w14:paraId="23954842" w14:textId="77777777" w:rsidTr="568FBF53">
      <w:trPr>
        <w:trHeight w:val="300"/>
      </w:trPr>
      <w:tc>
        <w:tcPr>
          <w:tcW w:w="3005" w:type="dxa"/>
        </w:tcPr>
        <w:p w14:paraId="7D77F764" w14:textId="3E8985C1" w:rsidR="13750A5F" w:rsidRDefault="13750A5F" w:rsidP="13750A5F">
          <w:pPr>
            <w:pStyle w:val="Header"/>
            <w:ind w:left="-115"/>
          </w:pPr>
        </w:p>
      </w:tc>
      <w:tc>
        <w:tcPr>
          <w:tcW w:w="3005" w:type="dxa"/>
        </w:tcPr>
        <w:p w14:paraId="18987640" w14:textId="11EACC62" w:rsidR="13750A5F" w:rsidRDefault="13750A5F" w:rsidP="13750A5F">
          <w:pPr>
            <w:pStyle w:val="Header"/>
            <w:jc w:val="center"/>
          </w:pPr>
        </w:p>
      </w:tc>
      <w:tc>
        <w:tcPr>
          <w:tcW w:w="3005" w:type="dxa"/>
        </w:tcPr>
        <w:p w14:paraId="6CAE95DE" w14:textId="6F9A7E22" w:rsidR="13750A5F" w:rsidRDefault="13750A5F" w:rsidP="13750A5F">
          <w:pPr>
            <w:pStyle w:val="Header"/>
            <w:ind w:right="-115"/>
            <w:jc w:val="right"/>
          </w:pPr>
        </w:p>
      </w:tc>
    </w:tr>
  </w:tbl>
  <w:p w14:paraId="2EA59EA0" w14:textId="78129EB0" w:rsidR="13750A5F" w:rsidRDefault="13750A5F" w:rsidP="13750A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5DD2E92"/>
    <w:multiLevelType w:val="hybridMultilevel"/>
    <w:tmpl w:val="CF7C3D92"/>
    <w:lvl w:ilvl="0" w:tplc="7166BAA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22E13CF"/>
    <w:multiLevelType w:val="hybridMultilevel"/>
    <w:tmpl w:val="CEB44548"/>
    <w:lvl w:ilvl="0" w:tplc="6D0A7CF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4576DB"/>
    <w:multiLevelType w:val="hybridMultilevel"/>
    <w:tmpl w:val="889EB0E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3885E0F"/>
    <w:multiLevelType w:val="hybridMultilevel"/>
    <w:tmpl w:val="E2AC955E"/>
    <w:lvl w:ilvl="0" w:tplc="4B0C8932">
      <w:start w:val="1"/>
      <w:numFmt w:val="decimal"/>
      <w:lvlText w:val="%1."/>
      <w:lvlJc w:val="left"/>
      <w:pPr>
        <w:ind w:left="1080" w:hanging="720"/>
      </w:pPr>
      <w:rPr>
        <w:rFonts w:hint="default"/>
        <w:b/>
        <w:color w:val="194869" w:themeColor="accent1"/>
        <w:sz w:val="4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295F7A"/>
    <w:multiLevelType w:val="hybridMultilevel"/>
    <w:tmpl w:val="2AC4E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3727AB"/>
    <w:multiLevelType w:val="hybridMultilevel"/>
    <w:tmpl w:val="0834F71A"/>
    <w:lvl w:ilvl="0" w:tplc="FFFFFFFF">
      <w:start w:val="1"/>
      <w:numFmt w:val="decimal"/>
      <w:lvlText w:val="%1."/>
      <w:lvlJc w:val="left"/>
      <w:pPr>
        <w:ind w:left="825" w:hanging="360"/>
      </w:pPr>
      <w:rPr>
        <w:rFonts w:hint="default"/>
      </w:rPr>
    </w:lvl>
    <w:lvl w:ilvl="1" w:tplc="08090019" w:tentative="1">
      <w:start w:val="1"/>
      <w:numFmt w:val="lowerLetter"/>
      <w:lvlText w:val="%2."/>
      <w:lvlJc w:val="left"/>
      <w:pPr>
        <w:ind w:left="1545" w:hanging="360"/>
      </w:pPr>
    </w:lvl>
    <w:lvl w:ilvl="2" w:tplc="0809001B" w:tentative="1">
      <w:start w:val="1"/>
      <w:numFmt w:val="lowerRoman"/>
      <w:lvlText w:val="%3."/>
      <w:lvlJc w:val="right"/>
      <w:pPr>
        <w:ind w:left="2265" w:hanging="180"/>
      </w:pPr>
    </w:lvl>
    <w:lvl w:ilvl="3" w:tplc="0809000F" w:tentative="1">
      <w:start w:val="1"/>
      <w:numFmt w:val="decimal"/>
      <w:lvlText w:val="%4."/>
      <w:lvlJc w:val="left"/>
      <w:pPr>
        <w:ind w:left="2985" w:hanging="360"/>
      </w:pPr>
    </w:lvl>
    <w:lvl w:ilvl="4" w:tplc="08090019" w:tentative="1">
      <w:start w:val="1"/>
      <w:numFmt w:val="lowerLetter"/>
      <w:lvlText w:val="%5."/>
      <w:lvlJc w:val="left"/>
      <w:pPr>
        <w:ind w:left="3705" w:hanging="360"/>
      </w:pPr>
    </w:lvl>
    <w:lvl w:ilvl="5" w:tplc="0809001B" w:tentative="1">
      <w:start w:val="1"/>
      <w:numFmt w:val="lowerRoman"/>
      <w:lvlText w:val="%6."/>
      <w:lvlJc w:val="right"/>
      <w:pPr>
        <w:ind w:left="4425" w:hanging="180"/>
      </w:pPr>
    </w:lvl>
    <w:lvl w:ilvl="6" w:tplc="0809000F" w:tentative="1">
      <w:start w:val="1"/>
      <w:numFmt w:val="decimal"/>
      <w:lvlText w:val="%7."/>
      <w:lvlJc w:val="left"/>
      <w:pPr>
        <w:ind w:left="5145" w:hanging="360"/>
      </w:pPr>
    </w:lvl>
    <w:lvl w:ilvl="7" w:tplc="08090019" w:tentative="1">
      <w:start w:val="1"/>
      <w:numFmt w:val="lowerLetter"/>
      <w:lvlText w:val="%8."/>
      <w:lvlJc w:val="left"/>
      <w:pPr>
        <w:ind w:left="5865" w:hanging="360"/>
      </w:pPr>
    </w:lvl>
    <w:lvl w:ilvl="8" w:tplc="0809001B" w:tentative="1">
      <w:start w:val="1"/>
      <w:numFmt w:val="lowerRoman"/>
      <w:lvlText w:val="%9."/>
      <w:lvlJc w:val="right"/>
      <w:pPr>
        <w:ind w:left="6585" w:hanging="180"/>
      </w:pPr>
    </w:lvl>
  </w:abstractNum>
  <w:abstractNum w:abstractNumId="17" w15:restartNumberingAfterBreak="0">
    <w:nsid w:val="396B6A74"/>
    <w:multiLevelType w:val="hybridMultilevel"/>
    <w:tmpl w:val="7AF44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CF956C9"/>
    <w:multiLevelType w:val="hybridMultilevel"/>
    <w:tmpl w:val="889EB0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0134ADD"/>
    <w:multiLevelType w:val="hybridMultilevel"/>
    <w:tmpl w:val="20EA37FE"/>
    <w:lvl w:ilvl="0" w:tplc="7DC0D28E">
      <w:start w:val="4"/>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AA5E3A"/>
    <w:multiLevelType w:val="hybridMultilevel"/>
    <w:tmpl w:val="5B08A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545C3B"/>
    <w:multiLevelType w:val="hybridMultilevel"/>
    <w:tmpl w:val="FC0631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8F6800"/>
    <w:multiLevelType w:val="hybridMultilevel"/>
    <w:tmpl w:val="F95249E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60AF540F"/>
    <w:multiLevelType w:val="hybridMultilevel"/>
    <w:tmpl w:val="105E6B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0C0D85"/>
    <w:multiLevelType w:val="hybridMultilevel"/>
    <w:tmpl w:val="CB60C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10681944">
    <w:abstractNumId w:val="10"/>
  </w:num>
  <w:num w:numId="2" w16cid:durableId="2013606935">
    <w:abstractNumId w:val="19"/>
  </w:num>
  <w:num w:numId="3" w16cid:durableId="690763919">
    <w:abstractNumId w:val="0"/>
  </w:num>
  <w:num w:numId="4" w16cid:durableId="1089814059">
    <w:abstractNumId w:val="1"/>
  </w:num>
  <w:num w:numId="5" w16cid:durableId="342785058">
    <w:abstractNumId w:val="2"/>
  </w:num>
  <w:num w:numId="6" w16cid:durableId="652180033">
    <w:abstractNumId w:val="3"/>
  </w:num>
  <w:num w:numId="7" w16cid:durableId="576285928">
    <w:abstractNumId w:val="8"/>
  </w:num>
  <w:num w:numId="8" w16cid:durableId="1574661779">
    <w:abstractNumId w:val="4"/>
  </w:num>
  <w:num w:numId="9" w16cid:durableId="281499735">
    <w:abstractNumId w:val="5"/>
  </w:num>
  <w:num w:numId="10" w16cid:durableId="1469663567">
    <w:abstractNumId w:val="6"/>
  </w:num>
  <w:num w:numId="11" w16cid:durableId="1263876499">
    <w:abstractNumId w:val="7"/>
  </w:num>
  <w:num w:numId="12" w16cid:durableId="1516530431">
    <w:abstractNumId w:val="9"/>
  </w:num>
  <w:num w:numId="13" w16cid:durableId="1330063821">
    <w:abstractNumId w:val="21"/>
  </w:num>
  <w:num w:numId="14" w16cid:durableId="1599828718">
    <w:abstractNumId w:val="12"/>
  </w:num>
  <w:num w:numId="15" w16cid:durableId="2139686748">
    <w:abstractNumId w:val="17"/>
  </w:num>
  <w:num w:numId="16" w16cid:durableId="1733574401">
    <w:abstractNumId w:val="11"/>
  </w:num>
  <w:num w:numId="17" w16cid:durableId="1236015956">
    <w:abstractNumId w:val="15"/>
  </w:num>
  <w:num w:numId="18" w16cid:durableId="1797331114">
    <w:abstractNumId w:val="20"/>
  </w:num>
  <w:num w:numId="19" w16cid:durableId="1342010138">
    <w:abstractNumId w:val="24"/>
  </w:num>
  <w:num w:numId="20" w16cid:durableId="731733721">
    <w:abstractNumId w:val="14"/>
  </w:num>
  <w:num w:numId="21" w16cid:durableId="1465736258">
    <w:abstractNumId w:val="23"/>
  </w:num>
  <w:num w:numId="22" w16cid:durableId="1772242067">
    <w:abstractNumId w:val="22"/>
  </w:num>
  <w:num w:numId="23" w16cid:durableId="62801013">
    <w:abstractNumId w:val="25"/>
  </w:num>
  <w:num w:numId="24" w16cid:durableId="544100120">
    <w:abstractNumId w:val="18"/>
  </w:num>
  <w:num w:numId="25" w16cid:durableId="1856118091">
    <w:abstractNumId w:val="13"/>
  </w:num>
  <w:num w:numId="26" w16cid:durableId="1463577351">
    <w:abstractNumId w:val="19"/>
  </w:num>
  <w:num w:numId="27" w16cid:durableId="7698590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421CD"/>
    <w:rsid w:val="00072A4A"/>
    <w:rsid w:val="000753E2"/>
    <w:rsid w:val="000C23E4"/>
    <w:rsid w:val="000C284B"/>
    <w:rsid w:val="000C6D88"/>
    <w:rsid w:val="000F7FB9"/>
    <w:rsid w:val="001226CD"/>
    <w:rsid w:val="001236FA"/>
    <w:rsid w:val="001348B4"/>
    <w:rsid w:val="00137A02"/>
    <w:rsid w:val="00174110"/>
    <w:rsid w:val="00174129"/>
    <w:rsid w:val="0019109F"/>
    <w:rsid w:val="0019531E"/>
    <w:rsid w:val="0019594B"/>
    <w:rsid w:val="001A226E"/>
    <w:rsid w:val="001A50AA"/>
    <w:rsid w:val="001C6EE0"/>
    <w:rsid w:val="001C7CCF"/>
    <w:rsid w:val="001D71EC"/>
    <w:rsid w:val="001E3DD4"/>
    <w:rsid w:val="001F03EB"/>
    <w:rsid w:val="00217A87"/>
    <w:rsid w:val="00235F7A"/>
    <w:rsid w:val="00242C7B"/>
    <w:rsid w:val="00244D2A"/>
    <w:rsid w:val="002506E5"/>
    <w:rsid w:val="002620A6"/>
    <w:rsid w:val="00296D4E"/>
    <w:rsid w:val="002A182E"/>
    <w:rsid w:val="002B08AA"/>
    <w:rsid w:val="002D031F"/>
    <w:rsid w:val="002D4607"/>
    <w:rsid w:val="002D7C7D"/>
    <w:rsid w:val="002F13BE"/>
    <w:rsid w:val="003056B4"/>
    <w:rsid w:val="00321419"/>
    <w:rsid w:val="00342B25"/>
    <w:rsid w:val="00345F82"/>
    <w:rsid w:val="00350EB9"/>
    <w:rsid w:val="00370771"/>
    <w:rsid w:val="003732C1"/>
    <w:rsid w:val="00381D73"/>
    <w:rsid w:val="00382FD3"/>
    <w:rsid w:val="003867BA"/>
    <w:rsid w:val="003C0692"/>
    <w:rsid w:val="003C2E29"/>
    <w:rsid w:val="003D7EC1"/>
    <w:rsid w:val="003E6826"/>
    <w:rsid w:val="003F6568"/>
    <w:rsid w:val="00405460"/>
    <w:rsid w:val="004134D1"/>
    <w:rsid w:val="004141A9"/>
    <w:rsid w:val="004303E9"/>
    <w:rsid w:val="00444243"/>
    <w:rsid w:val="004500D5"/>
    <w:rsid w:val="00455766"/>
    <w:rsid w:val="004646E9"/>
    <w:rsid w:val="00483DB1"/>
    <w:rsid w:val="00485D3B"/>
    <w:rsid w:val="004F4F46"/>
    <w:rsid w:val="00530BA8"/>
    <w:rsid w:val="005410E9"/>
    <w:rsid w:val="005550D4"/>
    <w:rsid w:val="0057073D"/>
    <w:rsid w:val="005A4803"/>
    <w:rsid w:val="005C0751"/>
    <w:rsid w:val="005C4351"/>
    <w:rsid w:val="005C7E25"/>
    <w:rsid w:val="005E6318"/>
    <w:rsid w:val="006101CE"/>
    <w:rsid w:val="006114D9"/>
    <w:rsid w:val="00677B9C"/>
    <w:rsid w:val="0069465E"/>
    <w:rsid w:val="006A7BDE"/>
    <w:rsid w:val="006C21B5"/>
    <w:rsid w:val="006D2877"/>
    <w:rsid w:val="006E2EAE"/>
    <w:rsid w:val="006F203B"/>
    <w:rsid w:val="00717164"/>
    <w:rsid w:val="007216EF"/>
    <w:rsid w:val="007221C3"/>
    <w:rsid w:val="00726B3C"/>
    <w:rsid w:val="0074182F"/>
    <w:rsid w:val="007626D9"/>
    <w:rsid w:val="00795FFC"/>
    <w:rsid w:val="007E6CB6"/>
    <w:rsid w:val="007E70AF"/>
    <w:rsid w:val="007F2071"/>
    <w:rsid w:val="007F2931"/>
    <w:rsid w:val="008078E3"/>
    <w:rsid w:val="00844946"/>
    <w:rsid w:val="00861568"/>
    <w:rsid w:val="0088082D"/>
    <w:rsid w:val="00891514"/>
    <w:rsid w:val="00895442"/>
    <w:rsid w:val="008B4AB1"/>
    <w:rsid w:val="008B62D2"/>
    <w:rsid w:val="008E5D49"/>
    <w:rsid w:val="008F0647"/>
    <w:rsid w:val="009249F6"/>
    <w:rsid w:val="00925B5E"/>
    <w:rsid w:val="009271A8"/>
    <w:rsid w:val="0096136B"/>
    <w:rsid w:val="00970943"/>
    <w:rsid w:val="009819C7"/>
    <w:rsid w:val="0098576D"/>
    <w:rsid w:val="00987A75"/>
    <w:rsid w:val="009C625F"/>
    <w:rsid w:val="009D20C4"/>
    <w:rsid w:val="009E66C8"/>
    <w:rsid w:val="00A00F8E"/>
    <w:rsid w:val="00A074ED"/>
    <w:rsid w:val="00A07C3D"/>
    <w:rsid w:val="00A17D75"/>
    <w:rsid w:val="00A43F19"/>
    <w:rsid w:val="00A5744D"/>
    <w:rsid w:val="00A76A59"/>
    <w:rsid w:val="00A86F47"/>
    <w:rsid w:val="00A91844"/>
    <w:rsid w:val="00A948E8"/>
    <w:rsid w:val="00A94D28"/>
    <w:rsid w:val="00AA27B6"/>
    <w:rsid w:val="00AA32D5"/>
    <w:rsid w:val="00AA68B6"/>
    <w:rsid w:val="00AC0882"/>
    <w:rsid w:val="00AC2500"/>
    <w:rsid w:val="00AE431D"/>
    <w:rsid w:val="00AF6624"/>
    <w:rsid w:val="00B0219D"/>
    <w:rsid w:val="00B02DE3"/>
    <w:rsid w:val="00B06286"/>
    <w:rsid w:val="00B44220"/>
    <w:rsid w:val="00B870E9"/>
    <w:rsid w:val="00BA194C"/>
    <w:rsid w:val="00BB59AC"/>
    <w:rsid w:val="00BC5008"/>
    <w:rsid w:val="00BC747B"/>
    <w:rsid w:val="00BD2B7A"/>
    <w:rsid w:val="00BF1F60"/>
    <w:rsid w:val="00BF63F2"/>
    <w:rsid w:val="00C140E8"/>
    <w:rsid w:val="00C200DE"/>
    <w:rsid w:val="00C31D43"/>
    <w:rsid w:val="00C42BB9"/>
    <w:rsid w:val="00C44F69"/>
    <w:rsid w:val="00C457FA"/>
    <w:rsid w:val="00C4762A"/>
    <w:rsid w:val="00C50651"/>
    <w:rsid w:val="00C529F7"/>
    <w:rsid w:val="00C604A2"/>
    <w:rsid w:val="00C616F2"/>
    <w:rsid w:val="00C671AF"/>
    <w:rsid w:val="00CB095F"/>
    <w:rsid w:val="00CB2F59"/>
    <w:rsid w:val="00CC50EC"/>
    <w:rsid w:val="00CC54B2"/>
    <w:rsid w:val="00D15DEB"/>
    <w:rsid w:val="00D21046"/>
    <w:rsid w:val="00D22DEC"/>
    <w:rsid w:val="00D24BC4"/>
    <w:rsid w:val="00D31701"/>
    <w:rsid w:val="00D34B5B"/>
    <w:rsid w:val="00D35F00"/>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C3F5E"/>
    <w:rsid w:val="00ED102B"/>
    <w:rsid w:val="00ED744C"/>
    <w:rsid w:val="00EF1F09"/>
    <w:rsid w:val="00EF3504"/>
    <w:rsid w:val="00F039DF"/>
    <w:rsid w:val="00F377B3"/>
    <w:rsid w:val="00F53CD4"/>
    <w:rsid w:val="00FC02BE"/>
    <w:rsid w:val="02E141AB"/>
    <w:rsid w:val="08179777"/>
    <w:rsid w:val="0E35EE22"/>
    <w:rsid w:val="13750A5F"/>
    <w:rsid w:val="1D02C448"/>
    <w:rsid w:val="321D4E79"/>
    <w:rsid w:val="3BAB0862"/>
    <w:rsid w:val="3EE2A924"/>
    <w:rsid w:val="568FBF53"/>
    <w:rsid w:val="6EC97A9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568FBF53"/>
  </w:style>
  <w:style w:type="paragraph" w:styleId="Heading1">
    <w:name w:val="heading 1"/>
    <w:basedOn w:val="Normal"/>
    <w:next w:val="Normal"/>
    <w:link w:val="Heading1Char"/>
    <w:uiPriority w:val="9"/>
    <w:qFormat/>
    <w:rsid w:val="568FBF53"/>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568FBF53"/>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unhideWhenUsed/>
    <w:qFormat/>
    <w:rsid w:val="568FBF53"/>
    <w:pPr>
      <w:keepNext/>
      <w:keepLines/>
      <w:spacing w:before="40"/>
      <w:outlineLvl w:val="2"/>
    </w:pPr>
    <w:rPr>
      <w:rFonts w:asciiTheme="majorHAnsi" w:eastAsiaTheme="majorEastAsia" w:hAnsiTheme="majorHAnsi" w:cstheme="majorBidi"/>
      <w:color w:val="0C2334" w:themeColor="accent1" w:themeShade="80"/>
    </w:rPr>
  </w:style>
  <w:style w:type="paragraph" w:styleId="Heading4">
    <w:name w:val="heading 4"/>
    <w:basedOn w:val="Normal"/>
    <w:next w:val="Normal"/>
    <w:link w:val="Heading4Char"/>
    <w:uiPriority w:val="9"/>
    <w:unhideWhenUsed/>
    <w:qFormat/>
    <w:rsid w:val="568FBF53"/>
    <w:pPr>
      <w:keepNext/>
      <w:keepLines/>
      <w:spacing w:before="40"/>
      <w:outlineLvl w:val="3"/>
    </w:pPr>
    <w:rPr>
      <w:rFonts w:asciiTheme="majorHAnsi" w:eastAsiaTheme="majorEastAsia" w:hAnsiTheme="majorHAnsi" w:cstheme="majorBidi"/>
      <w:i/>
      <w:iCs/>
      <w:color w:val="12354E" w:themeColor="accent1" w:themeShade="BF"/>
    </w:rPr>
  </w:style>
  <w:style w:type="paragraph" w:styleId="Heading5">
    <w:name w:val="heading 5"/>
    <w:basedOn w:val="Normal"/>
    <w:next w:val="Normal"/>
    <w:link w:val="Heading5Char"/>
    <w:uiPriority w:val="9"/>
    <w:unhideWhenUsed/>
    <w:qFormat/>
    <w:rsid w:val="568FBF53"/>
    <w:pPr>
      <w:keepNext/>
      <w:keepLines/>
      <w:spacing w:before="40"/>
      <w:outlineLvl w:val="4"/>
    </w:pPr>
    <w:rPr>
      <w:rFonts w:asciiTheme="majorHAnsi" w:eastAsiaTheme="majorEastAsia" w:hAnsiTheme="majorHAnsi" w:cstheme="majorBidi"/>
      <w:color w:val="12354E" w:themeColor="accent1" w:themeShade="BF"/>
    </w:rPr>
  </w:style>
  <w:style w:type="paragraph" w:styleId="Heading6">
    <w:name w:val="heading 6"/>
    <w:basedOn w:val="Normal"/>
    <w:next w:val="Normal"/>
    <w:link w:val="Heading6Char"/>
    <w:uiPriority w:val="9"/>
    <w:unhideWhenUsed/>
    <w:qFormat/>
    <w:rsid w:val="568FBF53"/>
    <w:pPr>
      <w:keepNext/>
      <w:keepLines/>
      <w:spacing w:before="40"/>
      <w:outlineLvl w:val="5"/>
    </w:pPr>
    <w:rPr>
      <w:rFonts w:asciiTheme="majorHAnsi" w:eastAsiaTheme="majorEastAsia" w:hAnsiTheme="majorHAnsi" w:cstheme="majorBidi"/>
      <w:color w:val="0C2334" w:themeColor="accent1" w:themeShade="80"/>
    </w:rPr>
  </w:style>
  <w:style w:type="paragraph" w:styleId="Heading7">
    <w:name w:val="heading 7"/>
    <w:basedOn w:val="Normal"/>
    <w:next w:val="Normal"/>
    <w:link w:val="Heading7Char"/>
    <w:uiPriority w:val="9"/>
    <w:unhideWhenUsed/>
    <w:qFormat/>
    <w:rsid w:val="568FBF53"/>
    <w:pPr>
      <w:keepNext/>
      <w:keepLines/>
      <w:spacing w:before="40"/>
      <w:outlineLvl w:val="6"/>
    </w:pPr>
    <w:rPr>
      <w:rFonts w:asciiTheme="majorHAnsi" w:eastAsiaTheme="majorEastAsia" w:hAnsiTheme="majorHAnsi" w:cstheme="majorBidi"/>
      <w:i/>
      <w:iCs/>
      <w:color w:val="0C2334" w:themeColor="accent1" w:themeShade="80"/>
    </w:rPr>
  </w:style>
  <w:style w:type="paragraph" w:styleId="Heading8">
    <w:name w:val="heading 8"/>
    <w:basedOn w:val="Normal"/>
    <w:next w:val="Normal"/>
    <w:link w:val="Heading8Char"/>
    <w:uiPriority w:val="9"/>
    <w:unhideWhenUsed/>
    <w:qFormat/>
    <w:rsid w:val="568FBF53"/>
    <w:pPr>
      <w:keepNext/>
      <w:keepLines/>
      <w:spacing w:before="4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unhideWhenUsed/>
    <w:qFormat/>
    <w:rsid w:val="568FBF53"/>
    <w:pPr>
      <w:keepNext/>
      <w:keepLines/>
      <w:spacing w:before="4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568FBF53"/>
    <w:pPr>
      <w:tabs>
        <w:tab w:val="center" w:pos="4513"/>
        <w:tab w:val="right" w:pos="9026"/>
      </w:tabs>
    </w:pPr>
  </w:style>
  <w:style w:type="character" w:customStyle="1" w:styleId="HeaderChar">
    <w:name w:val="Header Char"/>
    <w:basedOn w:val="DefaultParagraphFont"/>
    <w:link w:val="Header"/>
    <w:uiPriority w:val="99"/>
    <w:rsid w:val="568FBF53"/>
    <w:rPr>
      <w:noProof w:val="0"/>
      <w:lang w:val="en-GB"/>
    </w:rPr>
  </w:style>
  <w:style w:type="paragraph" w:styleId="Footer">
    <w:name w:val="footer"/>
    <w:basedOn w:val="Normal"/>
    <w:link w:val="FooterChar"/>
    <w:uiPriority w:val="99"/>
    <w:unhideWhenUsed/>
    <w:rsid w:val="568FBF53"/>
    <w:pPr>
      <w:tabs>
        <w:tab w:val="center" w:pos="4513"/>
        <w:tab w:val="right" w:pos="9026"/>
      </w:tabs>
    </w:pPr>
  </w:style>
  <w:style w:type="character" w:customStyle="1" w:styleId="FooterChar">
    <w:name w:val="Footer Char"/>
    <w:basedOn w:val="DefaultParagraphFont"/>
    <w:link w:val="Footer"/>
    <w:uiPriority w:val="99"/>
    <w:rsid w:val="568FBF53"/>
    <w:rPr>
      <w:noProof w:val="0"/>
      <w:lang w:val="en-GB"/>
    </w:rPr>
  </w:style>
  <w:style w:type="paragraph" w:styleId="ListParagraph">
    <w:name w:val="List Paragraph"/>
    <w:basedOn w:val="Normal"/>
    <w:uiPriority w:val="34"/>
    <w:qFormat/>
    <w:rsid w:val="568FBF53"/>
    <w:pPr>
      <w:numPr>
        <w:numId w:val="2"/>
      </w:numPr>
      <w:spacing w:after="240"/>
      <w:contextualSpacing/>
    </w:pPr>
    <w:rPr>
      <w:color w:val="12354E" w:themeColor="accent1" w:themeShade="BF"/>
      <w:lang w:val="fr-FR"/>
    </w:rPr>
  </w:style>
  <w:style w:type="character" w:customStyle="1" w:styleId="Heading1Char">
    <w:name w:val="Heading 1 Char"/>
    <w:basedOn w:val="DefaultParagraphFont"/>
    <w:link w:val="Heading1"/>
    <w:uiPriority w:val="9"/>
    <w:rsid w:val="568FBF53"/>
    <w:rPr>
      <w:b/>
      <w:bCs/>
      <w:noProof w:val="0"/>
      <w:color w:val="194869" w:themeColor="accent1"/>
      <w:sz w:val="44"/>
      <w:szCs w:val="44"/>
      <w:lang w:val="en-GB"/>
    </w:rPr>
  </w:style>
  <w:style w:type="character" w:customStyle="1" w:styleId="Heading2Char">
    <w:name w:val="Heading 2 Char"/>
    <w:basedOn w:val="DefaultParagraphFont"/>
    <w:link w:val="Heading2"/>
    <w:uiPriority w:val="9"/>
    <w:rsid w:val="568FBF53"/>
    <w:rPr>
      <w:b/>
      <w:bCs/>
      <w:noProof w:val="0"/>
      <w:color w:val="20A6CA" w:themeColor="accent2"/>
      <w:sz w:val="36"/>
      <w:szCs w:val="36"/>
      <w:lang w:val="en-GB"/>
    </w:rPr>
  </w:style>
  <w:style w:type="paragraph" w:customStyle="1" w:styleId="Boxtitle">
    <w:name w:val="Box title"/>
    <w:basedOn w:val="Normal"/>
    <w:uiPriority w:val="1"/>
    <w:qFormat/>
    <w:rsid w:val="568FBF53"/>
    <w:rPr>
      <w:b/>
      <w:bCs/>
      <w:color w:val="4EB3B9" w:themeColor="accent4"/>
      <w:sz w:val="32"/>
      <w:szCs w:val="32"/>
    </w:rPr>
  </w:style>
  <w:style w:type="paragraph" w:customStyle="1" w:styleId="Body">
    <w:name w:val="Body"/>
    <w:basedOn w:val="Normal"/>
    <w:uiPriority w:val="1"/>
    <w:qFormat/>
    <w:rsid w:val="568FBF53"/>
    <w:pPr>
      <w:spacing w:after="240"/>
    </w:pPr>
    <w:rPr>
      <w:color w:val="12354E" w:themeColor="accent1" w:themeShade="BF"/>
      <w:lang w:val="fr-FR"/>
    </w:rPr>
  </w:style>
  <w:style w:type="paragraph" w:customStyle="1" w:styleId="Boxtext">
    <w:name w:val="Box text"/>
    <w:basedOn w:val="Normal"/>
    <w:uiPriority w:val="1"/>
    <w:qFormat/>
    <w:rsid w:val="568FBF53"/>
    <w:rPr>
      <w:color w:val="44546A" w:themeColor="text2"/>
      <w:lang w:val="fr-FR"/>
    </w:rPr>
  </w:style>
  <w:style w:type="paragraph" w:customStyle="1" w:styleId="Figure-TableHeading">
    <w:name w:val="Figure-Table Heading"/>
    <w:basedOn w:val="Normal"/>
    <w:uiPriority w:val="1"/>
    <w:qFormat/>
    <w:rsid w:val="568FBF53"/>
    <w:pPr>
      <w:spacing w:after="240"/>
    </w:pPr>
    <w:rPr>
      <w:b/>
      <w:bCs/>
      <w:color w:val="4EB3B9" w:themeColor="accent4"/>
    </w:rPr>
  </w:style>
  <w:style w:type="paragraph" w:customStyle="1" w:styleId="Header3">
    <w:name w:val="Header 3"/>
    <w:basedOn w:val="Body"/>
    <w:uiPriority w:val="1"/>
    <w:qFormat/>
    <w:rsid w:val="568FBF53"/>
    <w:pPr>
      <w:spacing w:after="60"/>
    </w:pPr>
    <w:rPr>
      <w:b/>
      <w:bCs/>
      <w:color w:val="F39371" w:themeColor="accent6"/>
      <w:sz w:val="28"/>
      <w:szCs w:val="28"/>
    </w:rPr>
  </w:style>
  <w:style w:type="table" w:styleId="TableGrid">
    <w:name w:val="Table Grid"/>
    <w:basedOn w:val="TableNormal"/>
    <w:uiPriority w:val="5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568FBF5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568FBF53"/>
    <w:rPr>
      <w:rFonts w:asciiTheme="minorHAnsi" w:eastAsiaTheme="minorEastAsia" w:hAnsiTheme="minorHAnsi" w:cstheme="minorBidi"/>
      <w:smallCaps/>
      <w:noProof w:val="0"/>
      <w:color w:val="595959" w:themeColor="text1" w:themeTint="A6"/>
      <w:lang w:val="en-GB" w:bidi="en-US"/>
    </w:rPr>
  </w:style>
  <w:style w:type="paragraph" w:styleId="FootnoteText">
    <w:name w:val="footnote text"/>
    <w:basedOn w:val="Normal"/>
    <w:link w:val="FootnoteTextChar"/>
    <w:uiPriority w:val="99"/>
    <w:unhideWhenUsed/>
    <w:rsid w:val="568FBF5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568FBF53"/>
    <w:rPr>
      <w:rFonts w:asciiTheme="minorHAnsi" w:eastAsiaTheme="minorEastAsia" w:hAnsiTheme="minorHAnsi" w:cstheme="minorBidi"/>
      <w:noProof w:val="0"/>
      <w:lang w:val="en-GB"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568FBF5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568FBF53"/>
    <w:rPr>
      <w:rFonts w:asciiTheme="minorHAnsi" w:eastAsiaTheme="minorEastAsia" w:hAnsiTheme="minorHAnsi" w:cstheme="minorBidi"/>
      <w:noProof w:val="0"/>
      <w:lang w:val="en-GB"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CommentSubject">
    <w:name w:val="annotation subject"/>
    <w:basedOn w:val="CommentText"/>
    <w:next w:val="CommentText"/>
    <w:link w:val="CommentSubjectChar"/>
    <w:uiPriority w:val="99"/>
    <w:semiHidden/>
    <w:unhideWhenUsed/>
    <w:rsid w:val="568FBF53"/>
    <w:pPr>
      <w:spacing w:after="0"/>
    </w:pPr>
    <w:rPr>
      <w:b/>
      <w:bCs/>
      <w:sz w:val="20"/>
      <w:szCs w:val="20"/>
      <w:lang w:bidi="ar-SA"/>
    </w:rPr>
  </w:style>
  <w:style w:type="character" w:customStyle="1" w:styleId="CommentSubjectChar">
    <w:name w:val="Comment Subject Char"/>
    <w:basedOn w:val="CommentTextChar"/>
    <w:link w:val="CommentSubject"/>
    <w:uiPriority w:val="99"/>
    <w:semiHidden/>
    <w:rsid w:val="568FBF53"/>
    <w:rPr>
      <w:rFonts w:asciiTheme="minorHAnsi" w:eastAsiaTheme="minorEastAsia" w:hAnsiTheme="minorHAnsi" w:cstheme="minorBidi"/>
      <w:b/>
      <w:bCs/>
      <w:noProof w:val="0"/>
      <w:sz w:val="20"/>
      <w:szCs w:val="20"/>
      <w:lang w:val="en-GB" w:bidi="en-US"/>
    </w:rPr>
  </w:style>
  <w:style w:type="paragraph" w:styleId="BalloonText">
    <w:name w:val="Balloon Text"/>
    <w:basedOn w:val="Normal"/>
    <w:link w:val="BalloonTextChar"/>
    <w:uiPriority w:val="99"/>
    <w:semiHidden/>
    <w:unhideWhenUsed/>
    <w:rsid w:val="568FBF53"/>
    <w:rPr>
      <w:rFonts w:ascii="Segoe UI" w:eastAsiaTheme="minorEastAsia" w:hAnsi="Segoe UI" w:cs="Segoe UI"/>
      <w:sz w:val="18"/>
      <w:szCs w:val="18"/>
    </w:rPr>
  </w:style>
  <w:style w:type="character" w:customStyle="1" w:styleId="BalloonTextChar">
    <w:name w:val="Balloon Text Char"/>
    <w:basedOn w:val="DefaultParagraphFont"/>
    <w:link w:val="BalloonText"/>
    <w:uiPriority w:val="99"/>
    <w:semiHidden/>
    <w:rsid w:val="568FBF53"/>
    <w:rPr>
      <w:rFonts w:ascii="Segoe UI" w:eastAsiaTheme="minorEastAsia" w:hAnsi="Segoe UI" w:cs="Segoe UI"/>
      <w:noProof w:val="0"/>
      <w:sz w:val="18"/>
      <w:szCs w:val="18"/>
      <w:lang w:val="en-GB"/>
    </w:rPr>
  </w:style>
  <w:style w:type="table" w:styleId="TableGridLight">
    <w:name w:val="Grid Table Light"/>
    <w:basedOn w:val="TableNormal"/>
    <w:uiPriority w:val="40"/>
    <w:rsid w:val="003E682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1">
    <w:name w:val="Unresolved Mention1"/>
    <w:basedOn w:val="DefaultParagraphFont"/>
    <w:uiPriority w:val="99"/>
    <w:semiHidden/>
    <w:unhideWhenUsed/>
    <w:rsid w:val="00795FFC"/>
    <w:rPr>
      <w:color w:val="605E5C"/>
      <w:shd w:val="clear" w:color="auto" w:fill="E1DFDD"/>
    </w:rPr>
  </w:style>
  <w:style w:type="paragraph" w:styleId="Title">
    <w:name w:val="Title"/>
    <w:basedOn w:val="Normal"/>
    <w:next w:val="Normal"/>
    <w:link w:val="TitleChar"/>
    <w:uiPriority w:val="10"/>
    <w:qFormat/>
    <w:rsid w:val="568FBF53"/>
    <w:pPr>
      <w:contextualSpacing/>
    </w:pPr>
    <w:rPr>
      <w:rFonts w:asciiTheme="majorHAnsi" w:eastAsiaTheme="majorEastAsia" w:hAnsiTheme="majorHAnsi" w:cstheme="majorBidi"/>
      <w:sz w:val="56"/>
      <w:szCs w:val="56"/>
    </w:rPr>
  </w:style>
  <w:style w:type="paragraph" w:styleId="Quote">
    <w:name w:val="Quote"/>
    <w:basedOn w:val="Normal"/>
    <w:next w:val="Normal"/>
    <w:link w:val="QuoteChar"/>
    <w:uiPriority w:val="29"/>
    <w:qFormat/>
    <w:rsid w:val="568FBF53"/>
    <w:pPr>
      <w:spacing w:before="200"/>
      <w:ind w:left="864" w:right="864"/>
      <w:jc w:val="center"/>
    </w:pPr>
    <w:rPr>
      <w:i/>
      <w:iCs/>
      <w:color w:val="404040" w:themeColor="text1" w:themeTint="BF"/>
    </w:rPr>
  </w:style>
  <w:style w:type="paragraph" w:styleId="IntenseQuote">
    <w:name w:val="Intense Quote"/>
    <w:basedOn w:val="Normal"/>
    <w:next w:val="Normal"/>
    <w:link w:val="IntenseQuoteChar"/>
    <w:uiPriority w:val="30"/>
    <w:qFormat/>
    <w:rsid w:val="568FBF53"/>
    <w:pPr>
      <w:spacing w:before="360" w:after="360"/>
      <w:ind w:left="864" w:right="864"/>
      <w:jc w:val="center"/>
    </w:pPr>
    <w:rPr>
      <w:i/>
      <w:iCs/>
      <w:color w:val="194869" w:themeColor="accent1"/>
    </w:rPr>
  </w:style>
  <w:style w:type="character" w:customStyle="1" w:styleId="Heading3Char">
    <w:name w:val="Heading 3 Char"/>
    <w:basedOn w:val="DefaultParagraphFont"/>
    <w:link w:val="Heading3"/>
    <w:uiPriority w:val="9"/>
    <w:rsid w:val="568FBF53"/>
    <w:rPr>
      <w:rFonts w:asciiTheme="majorHAnsi" w:eastAsiaTheme="majorEastAsia" w:hAnsiTheme="majorHAnsi" w:cstheme="majorBidi"/>
      <w:noProof w:val="0"/>
      <w:color w:val="0C2334" w:themeColor="accent1" w:themeShade="80"/>
      <w:sz w:val="24"/>
      <w:szCs w:val="24"/>
      <w:lang w:val="en-GB"/>
    </w:rPr>
  </w:style>
  <w:style w:type="character" w:customStyle="1" w:styleId="Heading4Char">
    <w:name w:val="Heading 4 Char"/>
    <w:basedOn w:val="DefaultParagraphFont"/>
    <w:link w:val="Heading4"/>
    <w:uiPriority w:val="9"/>
    <w:rsid w:val="568FBF53"/>
    <w:rPr>
      <w:rFonts w:asciiTheme="majorHAnsi" w:eastAsiaTheme="majorEastAsia" w:hAnsiTheme="majorHAnsi" w:cstheme="majorBidi"/>
      <w:i/>
      <w:iCs/>
      <w:noProof w:val="0"/>
      <w:color w:val="12354E" w:themeColor="accent1" w:themeShade="BF"/>
      <w:lang w:val="en-GB"/>
    </w:rPr>
  </w:style>
  <w:style w:type="character" w:customStyle="1" w:styleId="Heading5Char">
    <w:name w:val="Heading 5 Char"/>
    <w:basedOn w:val="DefaultParagraphFont"/>
    <w:link w:val="Heading5"/>
    <w:uiPriority w:val="9"/>
    <w:rsid w:val="568FBF53"/>
    <w:rPr>
      <w:rFonts w:asciiTheme="majorHAnsi" w:eastAsiaTheme="majorEastAsia" w:hAnsiTheme="majorHAnsi" w:cstheme="majorBidi"/>
      <w:noProof w:val="0"/>
      <w:color w:val="12354E" w:themeColor="accent1" w:themeShade="BF"/>
      <w:lang w:val="en-GB"/>
    </w:rPr>
  </w:style>
  <w:style w:type="character" w:customStyle="1" w:styleId="Heading6Char">
    <w:name w:val="Heading 6 Char"/>
    <w:basedOn w:val="DefaultParagraphFont"/>
    <w:link w:val="Heading6"/>
    <w:uiPriority w:val="9"/>
    <w:rsid w:val="568FBF53"/>
    <w:rPr>
      <w:rFonts w:asciiTheme="majorHAnsi" w:eastAsiaTheme="majorEastAsia" w:hAnsiTheme="majorHAnsi" w:cstheme="majorBidi"/>
      <w:noProof w:val="0"/>
      <w:color w:val="0C2334" w:themeColor="accent1" w:themeShade="80"/>
      <w:lang w:val="en-GB"/>
    </w:rPr>
  </w:style>
  <w:style w:type="character" w:customStyle="1" w:styleId="Heading7Char">
    <w:name w:val="Heading 7 Char"/>
    <w:basedOn w:val="DefaultParagraphFont"/>
    <w:link w:val="Heading7"/>
    <w:uiPriority w:val="9"/>
    <w:rsid w:val="568FBF53"/>
    <w:rPr>
      <w:rFonts w:asciiTheme="majorHAnsi" w:eastAsiaTheme="majorEastAsia" w:hAnsiTheme="majorHAnsi" w:cstheme="majorBidi"/>
      <w:i/>
      <w:iCs/>
      <w:noProof w:val="0"/>
      <w:color w:val="0C2334" w:themeColor="accent1" w:themeShade="80"/>
      <w:lang w:val="en-GB"/>
    </w:rPr>
  </w:style>
  <w:style w:type="character" w:customStyle="1" w:styleId="Heading8Char">
    <w:name w:val="Heading 8 Char"/>
    <w:basedOn w:val="DefaultParagraphFont"/>
    <w:link w:val="Heading8"/>
    <w:uiPriority w:val="9"/>
    <w:rsid w:val="568FBF53"/>
    <w:rPr>
      <w:rFonts w:asciiTheme="majorHAnsi" w:eastAsiaTheme="majorEastAsia" w:hAnsiTheme="majorHAnsi" w:cstheme="majorBidi"/>
      <w:noProof w:val="0"/>
      <w:color w:val="272727"/>
      <w:sz w:val="21"/>
      <w:szCs w:val="21"/>
      <w:lang w:val="en-GB"/>
    </w:rPr>
  </w:style>
  <w:style w:type="character" w:customStyle="1" w:styleId="Heading9Char">
    <w:name w:val="Heading 9 Char"/>
    <w:basedOn w:val="DefaultParagraphFont"/>
    <w:link w:val="Heading9"/>
    <w:uiPriority w:val="9"/>
    <w:rsid w:val="568FBF53"/>
    <w:rPr>
      <w:rFonts w:asciiTheme="majorHAnsi" w:eastAsiaTheme="majorEastAsia" w:hAnsiTheme="majorHAnsi" w:cstheme="majorBidi"/>
      <w:i/>
      <w:iCs/>
      <w:noProof w:val="0"/>
      <w:color w:val="272727"/>
      <w:sz w:val="21"/>
      <w:szCs w:val="21"/>
      <w:lang w:val="en-GB"/>
    </w:rPr>
  </w:style>
  <w:style w:type="character" w:customStyle="1" w:styleId="TitleChar">
    <w:name w:val="Title Char"/>
    <w:basedOn w:val="DefaultParagraphFont"/>
    <w:link w:val="Title"/>
    <w:uiPriority w:val="10"/>
    <w:rsid w:val="568FBF53"/>
    <w:rPr>
      <w:rFonts w:asciiTheme="majorHAnsi" w:eastAsiaTheme="majorEastAsia" w:hAnsiTheme="majorHAnsi" w:cstheme="majorBidi"/>
      <w:noProof w:val="0"/>
      <w:sz w:val="56"/>
      <w:szCs w:val="56"/>
      <w:lang w:val="en-GB"/>
    </w:rPr>
  </w:style>
  <w:style w:type="character" w:customStyle="1" w:styleId="QuoteChar">
    <w:name w:val="Quote Char"/>
    <w:basedOn w:val="DefaultParagraphFont"/>
    <w:link w:val="Quote"/>
    <w:uiPriority w:val="29"/>
    <w:rsid w:val="568FBF53"/>
    <w:rPr>
      <w:i/>
      <w:iCs/>
      <w:noProof w:val="0"/>
      <w:color w:val="404040" w:themeColor="text1" w:themeTint="BF"/>
      <w:lang w:val="en-GB"/>
    </w:rPr>
  </w:style>
  <w:style w:type="character" w:customStyle="1" w:styleId="IntenseQuoteChar">
    <w:name w:val="Intense Quote Char"/>
    <w:basedOn w:val="DefaultParagraphFont"/>
    <w:link w:val="IntenseQuote"/>
    <w:uiPriority w:val="30"/>
    <w:rsid w:val="568FBF53"/>
    <w:rPr>
      <w:i/>
      <w:iCs/>
      <w:noProof w:val="0"/>
      <w:color w:val="194869" w:themeColor="accent1"/>
      <w:lang w:val="en-GB"/>
    </w:rPr>
  </w:style>
  <w:style w:type="paragraph" w:styleId="TOC1">
    <w:name w:val="toc 1"/>
    <w:basedOn w:val="Normal"/>
    <w:next w:val="Normal"/>
    <w:uiPriority w:val="39"/>
    <w:unhideWhenUsed/>
    <w:rsid w:val="568FBF53"/>
    <w:pPr>
      <w:spacing w:after="100"/>
    </w:pPr>
  </w:style>
  <w:style w:type="paragraph" w:styleId="TOC2">
    <w:name w:val="toc 2"/>
    <w:basedOn w:val="Normal"/>
    <w:next w:val="Normal"/>
    <w:uiPriority w:val="39"/>
    <w:unhideWhenUsed/>
    <w:rsid w:val="568FBF53"/>
    <w:pPr>
      <w:spacing w:after="100"/>
      <w:ind w:left="220"/>
    </w:pPr>
  </w:style>
  <w:style w:type="paragraph" w:styleId="TOC3">
    <w:name w:val="toc 3"/>
    <w:basedOn w:val="Normal"/>
    <w:next w:val="Normal"/>
    <w:uiPriority w:val="39"/>
    <w:unhideWhenUsed/>
    <w:rsid w:val="568FBF53"/>
    <w:pPr>
      <w:spacing w:after="100"/>
      <w:ind w:left="440"/>
    </w:pPr>
  </w:style>
  <w:style w:type="paragraph" w:styleId="TOC4">
    <w:name w:val="toc 4"/>
    <w:basedOn w:val="Normal"/>
    <w:next w:val="Normal"/>
    <w:uiPriority w:val="39"/>
    <w:unhideWhenUsed/>
    <w:rsid w:val="568FBF53"/>
    <w:pPr>
      <w:spacing w:after="100"/>
      <w:ind w:left="660"/>
    </w:pPr>
  </w:style>
  <w:style w:type="paragraph" w:styleId="TOC5">
    <w:name w:val="toc 5"/>
    <w:basedOn w:val="Normal"/>
    <w:next w:val="Normal"/>
    <w:uiPriority w:val="39"/>
    <w:unhideWhenUsed/>
    <w:rsid w:val="568FBF53"/>
    <w:pPr>
      <w:spacing w:after="100"/>
      <w:ind w:left="880"/>
    </w:pPr>
  </w:style>
  <w:style w:type="paragraph" w:styleId="TOC6">
    <w:name w:val="toc 6"/>
    <w:basedOn w:val="Normal"/>
    <w:next w:val="Normal"/>
    <w:uiPriority w:val="39"/>
    <w:unhideWhenUsed/>
    <w:rsid w:val="568FBF53"/>
    <w:pPr>
      <w:spacing w:after="100"/>
      <w:ind w:left="1100"/>
    </w:pPr>
  </w:style>
  <w:style w:type="paragraph" w:styleId="TOC7">
    <w:name w:val="toc 7"/>
    <w:basedOn w:val="Normal"/>
    <w:next w:val="Normal"/>
    <w:uiPriority w:val="39"/>
    <w:unhideWhenUsed/>
    <w:rsid w:val="568FBF53"/>
    <w:pPr>
      <w:spacing w:after="100"/>
      <w:ind w:left="1320"/>
    </w:pPr>
  </w:style>
  <w:style w:type="paragraph" w:styleId="TOC8">
    <w:name w:val="toc 8"/>
    <w:basedOn w:val="Normal"/>
    <w:next w:val="Normal"/>
    <w:uiPriority w:val="39"/>
    <w:unhideWhenUsed/>
    <w:rsid w:val="568FBF53"/>
    <w:pPr>
      <w:spacing w:after="100"/>
      <w:ind w:left="1540"/>
    </w:pPr>
  </w:style>
  <w:style w:type="paragraph" w:styleId="TOC9">
    <w:name w:val="toc 9"/>
    <w:basedOn w:val="Normal"/>
    <w:next w:val="Normal"/>
    <w:uiPriority w:val="39"/>
    <w:unhideWhenUsed/>
    <w:rsid w:val="568FBF53"/>
    <w:pPr>
      <w:spacing w:after="100"/>
      <w:ind w:left="1760"/>
    </w:pPr>
  </w:style>
  <w:style w:type="paragraph" w:styleId="EndnoteText">
    <w:name w:val="endnote text"/>
    <w:basedOn w:val="Normal"/>
    <w:link w:val="EndnoteTextChar"/>
    <w:uiPriority w:val="99"/>
    <w:semiHidden/>
    <w:unhideWhenUsed/>
    <w:rsid w:val="568FBF53"/>
    <w:rPr>
      <w:sz w:val="20"/>
      <w:szCs w:val="20"/>
    </w:rPr>
  </w:style>
  <w:style w:type="character" w:customStyle="1" w:styleId="EndnoteTextChar">
    <w:name w:val="Endnote Text Char"/>
    <w:basedOn w:val="DefaultParagraphFont"/>
    <w:link w:val="EndnoteText"/>
    <w:uiPriority w:val="99"/>
    <w:semiHidden/>
    <w:rsid w:val="568FBF53"/>
    <w:rPr>
      <w:noProof w:val="0"/>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26" Type="http://schemas.openxmlformats.org/officeDocument/2006/relationships/hyperlink" Target="http://iwrmdataportal.unepdhi.org/reportingmaterials" TargetMode="External"/><Relationship Id="rId21" Type="http://schemas.openxmlformats.org/officeDocument/2006/relationships/hyperlink" Target="https://www.unwater.org/our-work/integrated-monitoring-initiative-sdg-6" TargetMode="External"/><Relationship Id="rId34" Type="http://schemas.openxmlformats.org/officeDocument/2006/relationships/hyperlink" Target="http://iwrmdataportal.unepdhi.org/reportingmaterials" TargetMode="External"/><Relationship Id="rId42" Type="http://schemas.openxmlformats.org/officeDocument/2006/relationships/hyperlink" Target="https://www.youtube.com/playlist?list=PLPQBtot2gdlXq5b7zbPaR3baQ_NMbbcXU" TargetMode="External"/><Relationship Id="rId47" Type="http://schemas.openxmlformats.org/officeDocument/2006/relationships/hyperlink" Target="http://iwrmdataportal.unepdhi.org/country-report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s://fr.unesco.org/node/342066" TargetMode="External"/><Relationship Id="rId63" Type="http://schemas.openxmlformats.org/officeDocument/2006/relationships/header" Target="header1.xml"/><Relationship Id="rId68"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iwrmsdg651@un.org" TargetMode="External"/><Relationship Id="rId29" Type="http://schemas.openxmlformats.org/officeDocument/2006/relationships/hyperlink" Target="http://iwrmdataportal.unepdhi.org/country-reports" TargetMode="External"/><Relationship Id="rId11" Type="http://schemas.openxmlformats.org/officeDocument/2006/relationships/image" Target="media/image1.png"/><Relationship Id="rId24" Type="http://schemas.openxmlformats.org/officeDocument/2006/relationships/hyperlink" Target="http://iwrmdataportal.unepdhi.org/reportingmaterials" TargetMode="External"/><Relationship Id="rId32" Type="http://schemas.openxmlformats.org/officeDocument/2006/relationships/hyperlink" Target="mailto:iwrmsdg651@un.org" TargetMode="External"/><Relationship Id="rId37" Type="http://schemas.openxmlformats.org/officeDocument/2006/relationships/hyperlink" Target="http://iwrmdataportal.unepdhi.org/country-reports" TargetMode="External"/><Relationship Id="rId40" Type="http://schemas.openxmlformats.org/officeDocument/2006/relationships/hyperlink" Target="https://www.gwp.org/en/sdg6support/sdgmap/" TargetMode="External"/><Relationship Id="rId45" Type="http://schemas.openxmlformats.org/officeDocument/2006/relationships/hyperlink" Target="http://iwrmdataportal.unepdhi.org/reportingmaterials" TargetMode="External"/><Relationship Id="rId53" Type="http://schemas.openxmlformats.org/officeDocument/2006/relationships/hyperlink" Target="https://cap-net.org/programme-de-soutien-a-odd-6-gire/" TargetMode="External"/><Relationship Id="rId58" Type="http://schemas.openxmlformats.org/officeDocument/2006/relationships/hyperlink" Target="https://sdgs.un.org/fr/goals/goal5" TargetMode="External"/><Relationship Id="rId66" Type="http://schemas.openxmlformats.org/officeDocument/2006/relationships/footer" Target="footer2.xml"/><Relationship Id="rId5" Type="http://schemas.openxmlformats.org/officeDocument/2006/relationships/numbering" Target="numbering.xml"/><Relationship Id="rId61" Type="http://schemas.openxmlformats.org/officeDocument/2006/relationships/hyperlink" Target="https://www.sdg6monitoring.org/indicators/target-66/" TargetMode="External"/><Relationship Id="rId19" Type="http://schemas.openxmlformats.org/officeDocument/2006/relationships/hyperlink" Target="https://www.gwp.org/en/sdg6support/sdgmap/" TargetMode="External"/><Relationship Id="rId14" Type="http://schemas.openxmlformats.org/officeDocument/2006/relationships/hyperlink" Target="http://iwrmdataportal.unepdhi.org/reportingmaterials" TargetMode="External"/><Relationship Id="rId22" Type="http://schemas.openxmlformats.org/officeDocument/2006/relationships/hyperlink" Target="mailto:iwrmsdg651@un.org" TargetMode="External"/><Relationship Id="rId27" Type="http://schemas.openxmlformats.org/officeDocument/2006/relationships/hyperlink" Target="http://iwrmdataportal.unepdhi.org/reportingmaterials" TargetMode="External"/><Relationship Id="rId30" Type="http://schemas.openxmlformats.org/officeDocument/2006/relationships/hyperlink" Target="https://cap-net.org/programme-de-soutien-a-odd-6-gire/" TargetMode="External"/><Relationship Id="rId35" Type="http://schemas.openxmlformats.org/officeDocument/2006/relationships/hyperlink" Target="http://iwrmdataportal.unepdhi.org/" TargetMode="External"/><Relationship Id="rId43" Type="http://schemas.openxmlformats.org/officeDocument/2006/relationships/hyperlink" Target="http://iwrmdataportal.unepdhi.org/reportingmaterials" TargetMode="External"/><Relationship Id="rId48" Type="http://schemas.openxmlformats.org/officeDocument/2006/relationships/hyperlink" Target="http://iwrmdataportal.unepdhi.org/reportingmaterials" TargetMode="External"/><Relationship Id="rId56" Type="http://schemas.openxmlformats.org/officeDocument/2006/relationships/hyperlink" Target="https://www.sdg6monitoring.org/indicators/target-6b/" TargetMode="External"/><Relationship Id="rId64"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www.gwp.org/en/sdg6support/" TargetMode="External"/><Relationship Id="rId25" Type="http://schemas.openxmlformats.org/officeDocument/2006/relationships/hyperlink" Target="http://iwrmdataportal.unepdhi.org/reportingmaterials" TargetMode="External"/><Relationship Id="rId33" Type="http://schemas.openxmlformats.org/officeDocument/2006/relationships/hyperlink" Target="http://iwrmsdg651@un.org" TargetMode="External"/><Relationship Id="rId38" Type="http://schemas.openxmlformats.org/officeDocument/2006/relationships/hyperlink" Target="http://iwrmdataportal.unepdhi.org/country-reports" TargetMode="External"/><Relationship Id="rId46" Type="http://schemas.openxmlformats.org/officeDocument/2006/relationships/hyperlink" Target="http://iwrmdataportal.unepdhi.org/reportingmaterials" TargetMode="External"/><Relationship Id="rId59" Type="http://schemas.openxmlformats.org/officeDocument/2006/relationships/hyperlink" Target="https://www.sdg6monitoring.org/indicators/target-64/" TargetMode="External"/><Relationship Id="rId67" Type="http://schemas.openxmlformats.org/officeDocument/2006/relationships/fontTable" Target="fontTable.xml"/><Relationship Id="rId20" Type="http://schemas.openxmlformats.org/officeDocument/2006/relationships/hyperlink" Target="http://iwrmdataportal.unepdhi.org/country-reports" TargetMode="External"/><Relationship Id="rId41" Type="http://schemas.openxmlformats.org/officeDocument/2006/relationships/hyperlink" Target="https://www.gwp.org/en/sdg6support/consultations/where-we-are/sdg-6.5.1-regional-reports/" TargetMode="External"/><Relationship Id="rId54" Type="http://schemas.openxmlformats.org/officeDocument/2006/relationships/hyperlink" Target="mailto:sdg6iwrmsp@gwp.org" TargetMode="External"/><Relationship Id="rId62" Type="http://schemas.openxmlformats.org/officeDocument/2006/relationships/hyperlink" Target="https://www.preventionweb.net/sendai-framework/Integrated%20monitoring%20of%20the%20global%20targets%20of%20the%20Sendai%20Framework%20and%20the%20Sustainable%20Development%20Goal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iwrmdataportal.unepdhi.org/reportingmaterials" TargetMode="External"/><Relationship Id="rId23" Type="http://schemas.openxmlformats.org/officeDocument/2006/relationships/hyperlink" Target="http://iwrmdataportal.unepdhi.org/reportingmaterials" TargetMode="External"/><Relationship Id="rId28" Type="http://schemas.openxmlformats.org/officeDocument/2006/relationships/hyperlink" Target="https://gwptoolbox.org/explore/iwrm-survey" TargetMode="External"/><Relationship Id="rId36" Type="http://schemas.openxmlformats.org/officeDocument/2006/relationships/hyperlink" Target="https://unstats.un.org/sdgs" TargetMode="External"/><Relationship Id="rId49" Type="http://schemas.openxmlformats.org/officeDocument/2006/relationships/hyperlink" Target="http://iwrmdataportal.unepdhi.org/reportingmaterials" TargetMode="External"/><Relationship Id="rId57" Type="http://schemas.openxmlformats.org/officeDocument/2006/relationships/hyperlink" Target="https://glaas.who.int/fr/glaas" TargetMode="External"/><Relationship Id="rId10" Type="http://schemas.openxmlformats.org/officeDocument/2006/relationships/endnotes" Target="endnotes.xml"/><Relationship Id="rId31" Type="http://schemas.openxmlformats.org/officeDocument/2006/relationships/hyperlink" Target="http://iwrmdataportal.unepdhi.org/reportingmaterials" TargetMode="External"/><Relationship Id="rId44" Type="http://schemas.openxmlformats.org/officeDocument/2006/relationships/hyperlink" Target="http://iwrmdataportal.unepdhi.org/reportingmaterials" TargetMode="External"/><Relationship Id="rId52" Type="http://schemas.openxmlformats.org/officeDocument/2006/relationships/hyperlink" Target="http://iwrmdataportal.unepdhi.org/reportingmaterials" TargetMode="External"/><Relationship Id="rId60" Type="http://schemas.openxmlformats.org/officeDocument/2006/relationships/hyperlink" Target="https://www.sdg6monitoring.org/indicators/target-63/" TargetMode="External"/><Relationship Id="rId65"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iwrmdataportal.unepdhi.org/reportingmaterials" TargetMode="External"/><Relationship Id="rId18" Type="http://schemas.openxmlformats.org/officeDocument/2006/relationships/hyperlink" Target="mailto:sdg6iwrmsp@gwp.org" TargetMode="External"/><Relationship Id="rId39" Type="http://schemas.openxmlformats.org/officeDocument/2006/relationships/hyperlink" Target="mailto:sdg6iwrmsp@gwp.or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unstats.un.org/sdgs/metadat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FAC7CA-A7E0-48AC-B4D9-435D0F7F74B4}">
  <ds:schemaRefs>
    <ds:schemaRef ds:uri="http://schemas.openxmlformats.org/officeDocument/2006/bibliography"/>
  </ds:schemaRefs>
</ds:datastoreItem>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699AD4B9-EB4D-42B0-86D0-D4FCA36EB75C}">
  <ds:schemaRefs>
    <ds:schemaRef ds:uri="http://www.w3.org/XML/1998/namespace"/>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5e01a736-1b88-436b-a44b-5245e0be4ab3"/>
    <ds:schemaRef ds:uri="http://purl.org/dc/dcmitype/"/>
    <ds:schemaRef ds:uri="73aa4948-b2bb-4bb6-a4ce-3dbfd67606c8"/>
    <ds:schemaRef ds:uri="http://purl.org/dc/elements/1.1/"/>
  </ds:schemaRefs>
</ds:datastoreItem>
</file>

<file path=customXml/itemProps4.xml><?xml version="1.0" encoding="utf-8"?>
<ds:datastoreItem xmlns:ds="http://schemas.openxmlformats.org/officeDocument/2006/customXml" ds:itemID="{DEA90B15-92FC-4505-B62C-1001BB5459A6}"/>
</file>

<file path=docProps/app.xml><?xml version="1.0" encoding="utf-8"?>
<Properties xmlns="http://schemas.openxmlformats.org/officeDocument/2006/extended-properties" xmlns:vt="http://schemas.openxmlformats.org/officeDocument/2006/docPropsVTypes">
  <Template>Normal</Template>
  <TotalTime>0</TotalTime>
  <Pages>8</Pages>
  <Words>2955</Words>
  <Characters>16846</Characters>
  <Application>Microsoft Office Word</Application>
  <DocSecurity>0</DocSecurity>
  <Lines>140</Lines>
  <Paragraphs>39</Paragraphs>
  <ScaleCrop>false</ScaleCrop>
  <Company/>
  <LinksUpToDate>false</LinksUpToDate>
  <CharactersWithSpaces>19762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2023-04-13T11:16:00Z</dcterms:created>
  <dcterms:modified xsi:type="dcterms:W3CDTF">2023-04-13T11:16:00Z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